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860905" w:rsidRPr="00860905" w:rsidP="00860905" w14:paraId="00D8693B" w14:textId="77777777">
      <w:pPr>
        <w:bidi w:val="0"/>
        <w:spacing w:line="240" w:lineRule="auto"/>
        <w:jc w:val="center"/>
        <w:rPr>
          <w:rFonts w:asciiTheme="majorHAnsi" w:hAnsiTheme="majorHAnsi" w:cs="Times New Roman (Body CS)"/>
          <w:b/>
          <w:caps/>
          <w:color w:val="FFFFFF" w:themeColor="background1"/>
          <w:spacing w:val="10"/>
          <w:kern w:val="28"/>
          <w:sz w:val="44"/>
          <w:szCs w:val="44"/>
        </w:rPr>
      </w:pPr>
      <w:r>
        <w:rPr>
          <w:rStyle w:val="DefaultParagraphFont"/>
          <w:rFonts w:ascii="Segoe UI" w:eastAsia="Segoe UI" w:hAnsi="Segoe UI" w:cs="Times New Roman (Body CS)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10"/>
          <w:w w:val="100"/>
          <w:kern w:val="28"/>
          <w:position w:val="0"/>
          <w:sz w:val="44"/>
          <w:szCs w:val="4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ja-JP" w:bidi="ar-SA"/>
        </w:rPr>
        <w:t>Menter Eiddo Gwag Cymru</w:t>
      </w:r>
    </w:p>
    <w:p w:rsidR="00860905" w:rsidP="00860905" w14:paraId="1C76BDAA" w14:textId="77777777">
      <w:pPr>
        <w:bidi w:val="0"/>
        <w:jc w:val="center"/>
        <w:rPr>
          <w:rFonts w:asciiTheme="majorHAnsi" w:hAnsiTheme="majorHAnsi" w:cs="Times New Roman (Body CS)"/>
          <w:b/>
          <w:caps/>
          <w:color w:val="FFFFFF" w:themeColor="background1"/>
          <w:spacing w:val="10"/>
          <w:kern w:val="28"/>
          <w:sz w:val="44"/>
          <w:szCs w:val="44"/>
        </w:rPr>
      </w:pPr>
      <w:r>
        <w:rPr>
          <w:rStyle w:val="DefaultParagraphFont"/>
          <w:rFonts w:ascii="Segoe UI" w:eastAsia="Segoe UI" w:hAnsi="Segoe UI" w:cs="Times New Roman (Body CS)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10"/>
          <w:w w:val="100"/>
          <w:kern w:val="28"/>
          <w:position w:val="0"/>
          <w:sz w:val="44"/>
          <w:szCs w:val="4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ja-JP" w:bidi="ar-SA"/>
        </w:rPr>
        <w:t xml:space="preserve">“Troi Tai’n Gartrefi </w:t>
      </w:r>
      <w:r w:rsidRPr="00860905" w:rsidR="00E0401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-557530</wp:posOffset>
                </wp:positionV>
                <wp:extent cx="7772400" cy="2232025"/>
                <wp:effectExtent l="0" t="0" r="0" b="0"/>
                <wp:wrapNone/>
                <wp:docPr id="68" name="Rectangle 68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0" cy="2232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5" alt="&quot;&quot;" style="width:612pt;height:175.75pt;margin-top:-43.9pt;margin-left:0;mso-height-percent:0;mso-height-relative:margin;mso-position-horizontal:left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middle;z-index:-251657216" fillcolor="#4472c4" stroked="f" strokeweight="1pt">
                <w10:anchorlock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26" w:tblpY="48"/>
        <w:tblW w:w="1161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612"/>
      </w:tblGrid>
      <w:tr w14:paraId="09ACC010" w14:textId="77777777" w:rsidTr="00EE3B0A">
        <w:tblPrEx>
          <w:tblW w:w="1161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3"/>
        </w:trPr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</w:tcPr>
          <w:p w:rsidR="008548A3" w:rsidP="00860905" w14:paraId="17B590F1" w14:textId="77777777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  <w:bCs/>
                <w:color w:val="2F5496" w:themeColor="accent1" w:themeShade="BF"/>
                <w:sz w:val="24"/>
                <w:szCs w:val="24"/>
                <w:u w:val="single"/>
                <w:lang w:val="en-US" w:eastAsia="ja-JP" w:bidi="ar-SA"/>
              </w:rPr>
            </w:pPr>
          </w:p>
          <w:p w:rsidR="00860905" w:rsidRPr="00EE3B0A" w:rsidP="00860905" w14:paraId="06B93180" w14:textId="26E41991">
            <w:pPr>
              <w:bidi w:val="0"/>
              <w:spacing w:after="0" w:line="240" w:lineRule="auto"/>
              <w:rPr>
                <w:rFonts w:asciiTheme="majorHAnsi" w:eastAsiaTheme="minorEastAsia" w:hAnsiTheme="majorHAnsi" w:cstheme="majorHAnsi"/>
                <w:b/>
                <w:bCs/>
                <w:sz w:val="12"/>
                <w:szCs w:val="12"/>
                <w:u w:val="single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F549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Dod ag eiddo gwag yn ôl i ddefnydd – gyda llai o drethi erbyn hyn! </w:t>
            </w:r>
          </w:p>
        </w:tc>
      </w:tr>
      <w:tr w14:paraId="10D4D03D" w14:textId="77777777" w:rsidTr="00EE3B0A">
        <w:tblPrEx>
          <w:tblW w:w="116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19"/>
        </w:trPr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</w:tcPr>
          <w:p w:rsidR="00860905" w:rsidRPr="00860905" w:rsidP="00860905" w14:paraId="4350E102" w14:textId="77777777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0" w:firstLine="0"/>
              <w:rPr>
                <w:rFonts w:asciiTheme="majorHAnsi" w:eastAsiaTheme="minorEastAsia" w:hAnsiTheme="majorHAnsi" w:cstheme="majorHAnsi"/>
                <w:b w:val="0"/>
                <w:bCs/>
                <w:color w:val="1F4E79" w:themeColor="accent5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Gall dod ag eiddo gwag yn ôl i ddefnydd fod yn gostus, yn enwedig pan fydd angen gwaith adnewyddu helaeth.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Fel arfer codir tâl am waith adeiladu domestig, gan gynnwys atgyweirio, cynnal a chadw a gwella ar y gyfradd safonol o 20%.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Fodd bynnag, mae amrywiaeth o gonsesiynau TAW ar gael i adnewyddwyr, hunan-adeiladwyr a throswyr a all leihau cost unrhyw brosiect yn sylweddol.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  </w:t>
            </w:r>
          </w:p>
        </w:tc>
      </w:tr>
      <w:tr w14:paraId="0F716F14" w14:textId="77777777" w:rsidTr="00EE3B0A">
        <w:tblPrEx>
          <w:tblW w:w="116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38"/>
        </w:trPr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</w:tcPr>
          <w:p w:rsidR="00860905" w:rsidRPr="00EE3B0A" w:rsidP="00860905" w14:paraId="07BA418D" w14:textId="0A4044AB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0" w:firstLine="0"/>
              <w:rPr>
                <w:rFonts w:asciiTheme="majorHAnsi" w:eastAsiaTheme="minorEastAsia" w:hAnsiTheme="majorHAnsi" w:cstheme="majorHAnsi"/>
                <w:b w:val="0"/>
                <w:bCs/>
                <w:color w:val="1F4E79" w:themeColor="accent5" w:themeShade="80"/>
                <w:sz w:val="24"/>
                <w:szCs w:val="24"/>
                <w:u w:val="single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F549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TAW – eiddo preswyl sy'n wag am o leiaf ddwy flynedd. </w:t>
            </w:r>
          </w:p>
        </w:tc>
      </w:tr>
      <w:tr w14:paraId="76C47F3E" w14:textId="77777777" w:rsidTr="00EE3B0A">
        <w:tblPrEx>
          <w:tblW w:w="116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11"/>
        </w:trPr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</w:tcPr>
          <w:p w:rsidR="00860905" w:rsidRPr="00EE3B0A" w:rsidP="00860905" w14:paraId="5ACB431C" w14:textId="4A3D21C2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29" w:firstLine="0"/>
              <w:rPr>
                <w:rFonts w:asciiTheme="majorHAnsi" w:eastAsiaTheme="minorEastAsia" w:hAnsiTheme="majorHAnsi" w:cstheme="majorHAnsi"/>
                <w:b w:val="0"/>
                <w:bCs/>
                <w:color w:val="auto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Bydd adnewyddu eiddo preswyl sydd wedi bod yn wag am o leiaf 2 flynedd yn gymwys i gael y gyfradd TAW is o 5%.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Mae hyn yn berthnasol i lafur a deunyddiau sy'n gysylltiedig ag atgyweiriadau, addasiadau, adeiladu garejys cysylltiedig a thirlunio caled. </w:t>
            </w:r>
          </w:p>
          <w:p w:rsidR="00860905" w:rsidRPr="00860905" w:rsidP="00860905" w14:paraId="0DBF163B" w14:textId="3BB32B44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29" w:firstLine="0"/>
              <w:rPr>
                <w:rFonts w:asciiTheme="majorHAnsi" w:eastAsiaTheme="minorEastAsia" w:hAnsiTheme="majorHAnsi" w:cstheme="majorHAnsi"/>
                <w:b w:val="0"/>
                <w:bCs/>
                <w:color w:val="1F4E79" w:themeColor="accent5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>Er mwyn lleihau'r TAW a delir, mae angen rhoi ystyriaeth ofalus i bwy sy'n cyflenwi deunyddiau a bydd fel arfer yn talu i weithio gydag adeiladwr sydd wedi'i gofrestru ar gyfer TAW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, gan y bydd arbed 15% ar ddeunyddiau a gaiff eu cyflenwi a’u gosod (llafur a deunyddiau) fel arfer yn arbed mwy na’r 20% o TAW ar y llafur yn unig.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Nid oes cyfradd TAW is cyfatebol ar gyfer gwaith y cartref </w:t>
            </w:r>
            <w:hyperlink r:id="rId4" w:history="1">
              <w:r>
                <w:rPr>
                  <w:rStyle w:val="DefaultParagraphFont"/>
                  <w:rFonts w:ascii="Segoe UI" w:eastAsia="Segoe UI" w:hAnsi="Segoe UI" w:cs="Segoe UI"/>
                  <w:b/>
                  <w:bCs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2E74B5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 xml:space="preserve">Hysbysiad </w:t>
              </w:r>
              <w:r>
                <w:rPr>
                  <w:rStyle w:val="DefaultParagraphFont"/>
                  <w:rFonts w:ascii="Segoe UI" w:eastAsia="Segoe UI" w:hAnsi="Segoe UI" w:cs="Segoe UI"/>
                  <w:b/>
                  <w:bCs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2E74B5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>CThEF 708</w:t>
              </w:r>
              <w:r>
                <w:rPr>
                  <w:rStyle w:val="DefaultParagraphFont"/>
                  <w:rFonts w:ascii="Segoe UI" w:eastAsia="Segoe UI" w:hAnsi="Segoe UI" w:cs="Segoe U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2E74B5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 xml:space="preserve"> </w:t>
              </w:r>
            </w:hyperlink>
          </w:p>
        </w:tc>
      </w:tr>
      <w:tr w14:paraId="4D9365F0" w14:textId="77777777" w:rsidTr="00EE3B0A">
        <w:tblPrEx>
          <w:tblW w:w="116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3"/>
        </w:trPr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</w:tcPr>
          <w:p w:rsidR="00860905" w:rsidRPr="00EE3B0A" w:rsidP="00860905" w14:paraId="5093B4FE" w14:textId="38E38772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0" w:firstLine="0"/>
              <w:rPr>
                <w:rFonts w:asciiTheme="majorHAnsi" w:eastAsiaTheme="minorEastAsia" w:hAnsiTheme="majorHAnsi" w:cstheme="majorHAnsi"/>
                <w:b/>
                <w:color w:val="1F4E79" w:themeColor="accent5" w:themeShade="80"/>
                <w:sz w:val="24"/>
                <w:szCs w:val="24"/>
                <w:u w:val="single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1F4E7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TAW – eiddo preswyl yn wag dros ddeng mlynedd </w:t>
            </w:r>
          </w:p>
        </w:tc>
      </w:tr>
      <w:tr w14:paraId="5342D3E0" w14:textId="77777777" w:rsidTr="008548A3">
        <w:tblPrEx>
          <w:tblW w:w="116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11"/>
        </w:trPr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</w:tcPr>
          <w:p w:rsidR="00EE3B0A" w:rsidRPr="00EE3B0A" w:rsidP="00EE3B0A" w14:paraId="3C18DA41" w14:textId="45216329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33" w:firstLine="0"/>
              <w:rPr>
                <w:rFonts w:asciiTheme="majorHAnsi" w:eastAsiaTheme="minorEastAsia" w:hAnsiTheme="majorHAnsi" w:cstheme="majorHAnsi"/>
                <w:b w:val="0"/>
                <w:bCs/>
                <w:color w:val="auto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Mae adnewyddu annedd sydd wedi bod yn wag am ddeng mlynedd neu fwy yn cael ei drin fel annedd newydd a grëir drwy drosi a chymryd yn ganiataol y bydd yr eiddo’n cael ei werthu, rhaid i adeiladwr sydd wedi'i gofrestru ar gyfer  TAW godi cyfradd TAW o sero ar yr holl waith cymwys.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  </w:t>
            </w:r>
          </w:p>
          <w:p w:rsidR="00EE3B0A" w:rsidRPr="00EE3B0A" w:rsidP="00EE3B0A" w14:paraId="54DC90DB" w14:textId="5DF95C83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33" w:firstLine="0"/>
              <w:rPr>
                <w:rFonts w:asciiTheme="majorHAnsi" w:eastAsiaTheme="minorEastAsia" w:hAnsiTheme="majorHAnsi" w:cstheme="majorHAnsi"/>
                <w:b w:val="0"/>
                <w:bCs/>
                <w:color w:val="auto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Os yw'r eiddo i'w ddefnyddio at ddibenion preswyl gennych chi neu'ch teulu ar ôl i'r gwaith gael ei gwblhau, efallai y byddwch yn gymwys i gael cyfradd TAW o sero.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Mae'r consesiwn hwn wedi'i gynnwys yn y cynllun ar gyfer addasiadau gan adeiladwyr tai DIY, a gellir dod o hyd i'r gofynion manwl a'r cymhwysedd yn </w:t>
            </w:r>
            <w:hyperlink r:id="rId5" w:history="1">
              <w:r>
                <w:rPr>
                  <w:rStyle w:val="DefaultParagraphFont"/>
                  <w:rFonts w:ascii="Segoe UI" w:eastAsia="Segoe UI" w:hAnsi="Segoe UI" w:cs="Segoe UI"/>
                  <w:b/>
                  <w:bCs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>Hysbysiad CThEF 431C</w:t>
              </w:r>
              <w:r>
                <w:rPr>
                  <w:rStyle w:val="DefaultParagraphFont"/>
                  <w:rFonts w:ascii="Segoe UI" w:eastAsia="Segoe UI" w:hAnsi="Segoe UI" w:cs="Segoe U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 xml:space="preserve"> </w:t>
              </w:r>
            </w:hyperlink>
          </w:p>
          <w:p w:rsidR="00860905" w:rsidRPr="00860905" w:rsidP="00EE3B0A" w14:paraId="2ABA9715" w14:textId="42FDFA7D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33" w:hanging="33"/>
              <w:rPr>
                <w:rFonts w:asciiTheme="majorHAnsi" w:eastAsiaTheme="minorEastAsia" w:hAnsiTheme="majorHAnsi" w:cstheme="majorHAnsi"/>
                <w:b w:val="0"/>
                <w:bCs/>
                <w:color w:val="1F4E79" w:themeColor="accent5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Er mwyn bod yn gymwys ar gyfer y cynlluniau uchod bydd angen darparu prawf bod yr adeilad wedi bod yn wag am y cyfnod gofynnol.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>Fel arfer, byddai llythyr gan eich swyddog eiddo gwag lleol neu gofnodion y dreth gyngor yn ddigon o dystiolaeth at y diben hwnnw.</w:t>
            </w:r>
          </w:p>
        </w:tc>
      </w:tr>
      <w:tr w14:paraId="34C70A66" w14:textId="77777777" w:rsidTr="00EE3B0A">
        <w:tblPrEx>
          <w:tblW w:w="116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7"/>
        </w:trPr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</w:tcPr>
          <w:p w:rsidR="00EE3B0A" w:rsidRPr="00EE3B0A" w:rsidP="00EE3B0A" w14:paraId="442AB0A2" w14:textId="6635C8EF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33" w:firstLine="0"/>
              <w:rPr>
                <w:rFonts w:asciiTheme="majorHAnsi" w:eastAsiaTheme="minorEastAsia" w:hAnsiTheme="majorHAnsi" w:cstheme="majorHAnsi"/>
                <w:b/>
                <w:color w:val="1F4E79" w:themeColor="accent5" w:themeShade="80"/>
                <w:sz w:val="24"/>
                <w:szCs w:val="24"/>
                <w:u w:val="single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1F4E7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TAW ‐ Trosi adeilad amhreswyl yn annedd </w:t>
            </w:r>
          </w:p>
        </w:tc>
      </w:tr>
      <w:tr w14:paraId="38BBD1AD" w14:textId="77777777" w:rsidTr="008548A3">
        <w:tblPrEx>
          <w:tblW w:w="116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7"/>
        </w:trPr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</w:tcPr>
          <w:p w:rsidR="00EE3B0A" w:rsidRPr="008548A3" w:rsidP="00EE3B0A" w14:paraId="629C7291" w14:textId="6BEFE18F">
            <w:pPr>
              <w:pStyle w:val="ListBullet"/>
              <w:numPr>
                <w:numId w:val="2"/>
              </w:numPr>
              <w:tabs>
                <w:tab w:val="num" w:pos="360"/>
              </w:tabs>
              <w:bidi w:val="0"/>
              <w:spacing w:after="60" w:line="240" w:lineRule="auto"/>
              <w:ind w:left="33" w:hanging="288"/>
              <w:rPr>
                <w:rFonts w:asciiTheme="majorHAnsi" w:eastAsiaTheme="minorEastAsia" w:hAnsiTheme="majorHAnsi" w:cstheme="majorHAnsi"/>
                <w:b w:val="0"/>
                <w:bCs/>
                <w:color w:val="auto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Mae'r rheolau ar gyfer addasu adeiladau dibreswyl am y tro cyntaf yr un fath ag ar gyfer anheddau sydd wedi bod yn wag am ddeng mlynedd neu fwy.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>Mae hyn yn berthnasol i addasiadau ysgubor, addasiadau eglwys, addasiadau ysgol, addasiadau warws ac ati.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</w:t>
            </w:r>
            <w:hyperlink r:id="rId4" w:history="1">
              <w:r>
                <w:rPr>
                  <w:rStyle w:val="DefaultParagraphFont"/>
                  <w:rFonts w:ascii="Segoe UI" w:eastAsia="Segoe UI" w:hAnsi="Segoe UI" w:cs="Segoe UI"/>
                  <w:b/>
                  <w:bCs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2E74B5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>Hysbysiad CThEF 708</w:t>
              </w:r>
            </w:hyperlink>
          </w:p>
          <w:p w:rsidR="008548A3" w:rsidRPr="00EE3B0A" w:rsidP="00EE3B0A" w14:paraId="280A9326" w14:textId="0BC012C3">
            <w:pPr>
              <w:pStyle w:val="ListBullet"/>
              <w:numPr>
                <w:numId w:val="2"/>
              </w:numPr>
              <w:tabs>
                <w:tab w:val="num" w:pos="360"/>
              </w:tabs>
              <w:spacing w:after="60" w:line="240" w:lineRule="auto"/>
              <w:ind w:left="33" w:hanging="288"/>
              <w:rPr>
                <w:rFonts w:asciiTheme="majorHAnsi" w:eastAsiaTheme="minorEastAsia" w:hAnsiTheme="majorHAnsi" w:cstheme="majorHAnsi"/>
                <w:b w:val="0"/>
                <w:bCs/>
                <w:color w:val="auto" w:themeShade="80"/>
                <w:sz w:val="24"/>
                <w:szCs w:val="24"/>
                <w:lang w:val="en-US" w:eastAsia="ja-JP" w:bidi="ar-SA"/>
              </w:rPr>
            </w:pPr>
          </w:p>
        </w:tc>
      </w:tr>
      <w:tr w14:paraId="3F95B566" w14:textId="77777777" w:rsidTr="008548A3">
        <w:tblPrEx>
          <w:tblW w:w="116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4"/>
        </w:trPr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</w:tcPr>
          <w:p w:rsidR="00EE3B0A" w:rsidRPr="00EE3B0A" w:rsidP="00EE3B0A" w14:paraId="5A1054E5" w14:textId="7ADC6C23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432" w:hanging="288"/>
              <w:rPr>
                <w:rFonts w:asciiTheme="majorHAnsi" w:eastAsiaTheme="minorEastAsia" w:hAnsiTheme="majorHAnsi" w:cstheme="majorHAnsi"/>
                <w:b/>
                <w:bCs/>
                <w:color w:val="2F5496" w:themeColor="accent1" w:themeShade="BF"/>
                <w:sz w:val="24"/>
                <w:szCs w:val="24"/>
                <w:u w:val="single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F5496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Newid yn nifer yr unedau annedd </w:t>
            </w:r>
          </w:p>
        </w:tc>
      </w:tr>
      <w:tr w14:paraId="71D72332" w14:textId="77777777" w:rsidTr="008548A3">
        <w:tblPrEx>
          <w:tblW w:w="116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7"/>
        </w:trPr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</w:tcPr>
          <w:p w:rsidR="00EE3B0A" w:rsidRPr="00EE3B0A" w:rsidP="00EE3B0A" w14:paraId="137C216D" w14:textId="563152F4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175" w:hanging="31"/>
              <w:rPr>
                <w:rFonts w:asciiTheme="majorHAnsi" w:eastAsiaTheme="minorEastAsia" w:hAnsiTheme="majorHAnsi" w:cstheme="majorHAnsi"/>
                <w:b w:val="0"/>
                <w:bCs/>
                <w:color w:val="auto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>Lle mae gwaith adnewyddu i adeilad defnydd preswyl yn arwain at newid yn nifer yr unedau annedd –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er enghraifft, rhannu tŷ yn fflatiau, neu trosi dau fwthyn bach neu nifer o fflatiau’n un annedd – mae'r gwaith dan sylw yn gymwys ar gyfer y gyfradd TAW is o 5%. </w:t>
            </w:r>
          </w:p>
          <w:p w:rsidR="00EE3B0A" w:rsidRPr="00EE3B0A" w:rsidP="00EE3B0A" w14:paraId="05D5B03F" w14:textId="0460E90D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144" w:firstLine="0"/>
              <w:rPr>
                <w:rFonts w:asciiTheme="majorHAnsi" w:eastAsiaTheme="minorEastAsia" w:hAnsiTheme="majorHAnsi" w:cstheme="majorHAnsi"/>
                <w:b w:val="0"/>
                <w:bCs/>
                <w:color w:val="1F4E79" w:themeColor="accent5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Fel gydag annedd sydd wedi bod yn wag am ddwy flynedd neu fwy, nid oes cyfradd TAW is gyfatebol ar gyfer gwaith y cartref </w:t>
            </w:r>
            <w:hyperlink r:id="rId4" w:history="1">
              <w:r>
                <w:rPr>
                  <w:rStyle w:val="DefaultParagraphFont"/>
                  <w:rFonts w:ascii="Segoe UI" w:eastAsia="Segoe UI" w:hAnsi="Segoe UI" w:cs="Segoe UI"/>
                  <w:b/>
                  <w:bCs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2E74B5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 xml:space="preserve"> Hysbysiad CThEF 708.</w:t>
              </w:r>
            </w:hyperlink>
          </w:p>
        </w:tc>
      </w:tr>
      <w:tr w14:paraId="30C219A0" w14:textId="77777777" w:rsidTr="008548A3">
        <w:tblPrEx>
          <w:tblW w:w="116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7"/>
        </w:trPr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</w:tcPr>
          <w:p w:rsidR="00EE3B0A" w:rsidRPr="008548A3" w:rsidP="008548A3" w14:paraId="4AD0365B" w14:textId="38F47F12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432" w:hanging="288"/>
              <w:rPr>
                <w:rFonts w:asciiTheme="majorHAnsi" w:eastAsiaTheme="minorEastAsia" w:hAnsiTheme="majorHAnsi" w:cstheme="majorHAnsi"/>
                <w:b/>
                <w:color w:val="1F4E79" w:themeColor="accent5" w:themeShade="80"/>
                <w:sz w:val="24"/>
                <w:szCs w:val="24"/>
                <w:u w:val="single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1F4E7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Anheddau newydd </w:t>
            </w:r>
          </w:p>
        </w:tc>
      </w:tr>
      <w:tr w14:paraId="2A7C1EA6" w14:textId="77777777" w:rsidTr="008548A3">
        <w:tblPrEx>
          <w:tblW w:w="116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7"/>
        </w:trPr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</w:tcPr>
          <w:p w:rsidR="00EE3B0A" w:rsidRPr="00EE3B0A" w:rsidP="008548A3" w14:paraId="29047152" w14:textId="79699052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175" w:firstLine="0"/>
              <w:rPr>
                <w:rFonts w:asciiTheme="majorHAnsi" w:eastAsiaTheme="minorEastAsia" w:hAnsiTheme="majorHAnsi" w:cstheme="majorHAnsi"/>
                <w:b w:val="0"/>
                <w:bCs/>
                <w:color w:val="1F4E79" w:themeColor="accent5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>Mae cyfradd TAW o sero ar gyflenwad o anheddau newydd ac felly mae cyfradd TAW o sero ar y cyflenwad o lafur a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deunyddiau cymwys sy'n gysylltiedig ag adeiladu annedd newydd </w:t>
            </w:r>
            <w:hyperlink r:id="rId4" w:history="1">
              <w:r>
                <w:rPr>
                  <w:rStyle w:val="DefaultParagraphFont"/>
                  <w:rFonts w:ascii="Segoe UI" w:eastAsia="Segoe UI" w:hAnsi="Segoe UI" w:cs="Segoe UI"/>
                  <w:b/>
                  <w:bCs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2E74B5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>Hysbysiad CThEF 708.</w:t>
              </w:r>
              <w:r>
                <w:rPr>
                  <w:rStyle w:val="DefaultParagraphFont"/>
                  <w:rFonts w:ascii="Segoe UI" w:eastAsia="Segoe UI" w:hAnsi="Segoe UI" w:cs="Segoe U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2E74B5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 xml:space="preserve"> </w:t>
              </w:r>
            </w:hyperlink>
            <w:r>
              <w:rPr>
                <w:rStyle w:val="DefaultParagraphFont"/>
                <w:rFonts w:ascii="Segoe UI" w:eastAsia="Segoe UI" w:hAnsi="Segoe UI" w:cs="Segoe 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Os nad ydych wedi cofrestru ar gyfer TAW (hunanadeiladu) gallwch wneud cais untro am ad-daliad TAW ar ddeunyddiau cymwys gan ddefnyddio </w:t>
            </w:r>
            <w:hyperlink r:id="rId5" w:history="1">
              <w:r>
                <w:rPr>
                  <w:rStyle w:val="DefaultParagraphFont"/>
                  <w:rFonts w:ascii="Segoe UI" w:eastAsia="Segoe UI" w:hAnsi="Segoe UI" w:cs="Segoe UI"/>
                  <w:b/>
                  <w:bCs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2E74B5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>Hysbysiad CThEF 431C</w:t>
              </w:r>
            </w:hyperlink>
            <w:r>
              <w:rPr>
                <w:rStyle w:val="DefaultParagraphFont"/>
                <w:rFonts w:ascii="Segoe UI" w:eastAsia="Segoe UI" w:hAnsi="Segoe UI" w:cs="Segoe 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</w:t>
            </w:r>
          </w:p>
        </w:tc>
      </w:tr>
      <w:tr w14:paraId="69436F93" w14:textId="77777777" w:rsidTr="008548A3">
        <w:tblPrEx>
          <w:tblW w:w="116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7"/>
        </w:trPr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</w:tcPr>
          <w:p w:rsidR="008548A3" w:rsidRPr="008548A3" w:rsidP="008548A3" w14:paraId="26320DAD" w14:textId="7CBF387E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175" w:firstLine="0"/>
              <w:rPr>
                <w:rFonts w:asciiTheme="majorHAnsi" w:eastAsiaTheme="minorEastAsia" w:hAnsiTheme="majorHAnsi" w:cstheme="majorHAnsi"/>
                <w:b/>
                <w:color w:val="1F4E79" w:themeColor="accent5" w:themeShade="80"/>
                <w:sz w:val="24"/>
                <w:szCs w:val="24"/>
                <w:u w:val="single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1F4E7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TAW a gosod mesurau effeithlonrwydd ynni penodol </w:t>
            </w:r>
          </w:p>
        </w:tc>
      </w:tr>
      <w:tr w14:paraId="2A1296DB" w14:textId="77777777" w:rsidTr="008548A3">
        <w:tblPrEx>
          <w:tblW w:w="116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7"/>
        </w:trPr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</w:tcPr>
          <w:p w:rsidR="008548A3" w:rsidRPr="008548A3" w:rsidP="008548A3" w14:paraId="2C201F6F" w14:textId="08029FB1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179" w:firstLine="0"/>
              <w:rPr>
                <w:rFonts w:asciiTheme="majorHAnsi" w:eastAsiaTheme="minorEastAsia" w:hAnsiTheme="majorHAnsi" w:cstheme="majorHAnsi"/>
                <w:b w:val="0"/>
                <w:bCs/>
                <w:color w:val="auto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Yn ogystal, mae cyfraddau TAW is yn berthnasol i nifer o fathau o waith adeiladu, megis gosod mesurau arbed ynni mewn llety preswyl.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Mae'r gyfradd is yn berthnasol i osod: </w:t>
            </w:r>
          </w:p>
          <w:p w:rsidR="008548A3" w:rsidRPr="008548A3" w:rsidP="008548A3" w14:paraId="4EF9A636" w14:textId="23C27557">
            <w:pPr>
              <w:pStyle w:val="ListBullet"/>
              <w:numPr>
                <w:ilvl w:val="0"/>
                <w:numId w:val="15"/>
              </w:numPr>
              <w:tabs>
                <w:tab w:val="clear" w:pos="360"/>
              </w:tabs>
              <w:bidi w:val="0"/>
              <w:spacing w:after="60" w:line="240" w:lineRule="auto"/>
              <w:ind w:left="899" w:hanging="360"/>
              <w:rPr>
                <w:rFonts w:asciiTheme="majorHAnsi" w:eastAsiaTheme="minorEastAsia" w:hAnsiTheme="majorHAnsi" w:cstheme="majorHAnsi"/>
                <w:b w:val="0"/>
                <w:bCs/>
                <w:color w:val="auto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Rheolaethau system gwres canolog a dŵr poeth, atal drafft, inswleiddio </w:t>
            </w:r>
          </w:p>
          <w:p w:rsidR="008548A3" w:rsidRPr="008548A3" w:rsidP="008548A3" w14:paraId="5A6A3736" w14:textId="7AAE597D">
            <w:pPr>
              <w:pStyle w:val="ListBullet"/>
              <w:numPr>
                <w:ilvl w:val="0"/>
                <w:numId w:val="15"/>
              </w:numPr>
              <w:tabs>
                <w:tab w:val="clear" w:pos="360"/>
              </w:tabs>
              <w:bidi w:val="0"/>
              <w:spacing w:after="60" w:line="240" w:lineRule="auto"/>
              <w:ind w:left="899" w:hanging="360"/>
              <w:rPr>
                <w:rFonts w:asciiTheme="majorHAnsi" w:eastAsiaTheme="minorEastAsia" w:hAnsiTheme="majorHAnsi" w:cstheme="majorHAnsi"/>
                <w:b w:val="0"/>
                <w:bCs/>
                <w:color w:val="auto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>Paneli solar, tyrbinau gwynt, pympiau gwres ffynhonnell aer a daear</w:t>
            </w:r>
          </w:p>
          <w:p w:rsidR="008548A3" w:rsidRPr="008548A3" w:rsidP="008548A3" w14:paraId="37D50B67" w14:textId="29CEB4A0">
            <w:pPr>
              <w:pStyle w:val="ListBullet"/>
              <w:numPr>
                <w:ilvl w:val="0"/>
                <w:numId w:val="15"/>
              </w:numPr>
              <w:tabs>
                <w:tab w:val="clear" w:pos="360"/>
              </w:tabs>
              <w:bidi w:val="0"/>
              <w:spacing w:after="60" w:line="240" w:lineRule="auto"/>
              <w:ind w:left="899" w:hanging="360"/>
              <w:rPr>
                <w:rFonts w:asciiTheme="majorHAnsi" w:eastAsiaTheme="minorEastAsia" w:hAnsiTheme="majorHAnsi" w:cstheme="majorHAnsi"/>
                <w:b w:val="0"/>
                <w:bCs/>
                <w:color w:val="auto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Micro unedau gwres a phŵer cyfun; a boeleri tanwydd pren </w:t>
            </w:r>
          </w:p>
          <w:p w:rsidR="008548A3" w:rsidRPr="008548A3" w:rsidP="008548A3" w14:paraId="7A786A94" w14:textId="15BE3E77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179" w:firstLine="0"/>
              <w:rPr>
                <w:rFonts w:asciiTheme="majorHAnsi" w:eastAsiaTheme="minorEastAsia" w:hAnsiTheme="majorHAnsi" w:cstheme="majorHAnsi"/>
                <w:b w:val="0"/>
                <w:bCs/>
                <w:color w:val="auto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>Nid yw'r canlynol yn gymwys yn y cynllun uchod: boeleri ynni effeithlon, ffenestri eilaidd neu ddwbl, neu wydr allyriadau isel.</w:t>
            </w:r>
          </w:p>
          <w:p w:rsidR="008548A3" w:rsidRPr="008548A3" w:rsidP="008548A3" w14:paraId="789DA5A1" w14:textId="7C3957A4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bidi w:val="0"/>
              <w:spacing w:after="60" w:line="240" w:lineRule="auto"/>
              <w:ind w:left="179" w:firstLine="0"/>
              <w:rPr>
                <w:rFonts w:asciiTheme="majorHAnsi" w:eastAsiaTheme="minorEastAsia" w:hAnsiTheme="majorHAnsi" w:cstheme="majorHAnsi"/>
                <w:b w:val="0"/>
                <w:bCs/>
                <w:color w:val="auto" w:themeShade="80"/>
                <w:sz w:val="24"/>
                <w:szCs w:val="24"/>
                <w:lang w:val="en-US" w:eastAsia="ja-JP" w:bidi="ar-SA"/>
              </w:rPr>
            </w:pPr>
            <w:r>
              <w:rPr>
                <w:rStyle w:val="DefaultParagraphFont"/>
                <w:rFonts w:ascii="Segoe UI" w:eastAsia="Segoe UI" w:hAnsi="Segoe UI" w:cs="Segoe U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I gael rhagor o wybodaeth, cysylltwch â'ch swyddog eiddo gwag lleol neu ewch i </w:t>
            </w:r>
            <w:hyperlink r:id="rId6" w:history="1">
              <w:r>
                <w:rPr>
                  <w:rStyle w:val="DefaultParagraphFont"/>
                  <w:rFonts w:ascii="Segoe UI" w:eastAsia="Segoe UI" w:hAnsi="Segoe UI" w:cs="Segoe UI"/>
                  <w:b/>
                  <w:bCs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2E74B5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>www.hmrc.gov.uk</w:t>
              </w:r>
            </w:hyperlink>
            <w:r>
              <w:rPr>
                <w:rStyle w:val="DefaultParagraphFont"/>
                <w:rFonts w:ascii="Segoe UI" w:eastAsia="Segoe UI" w:hAnsi="Segoe UI" w:cs="Segoe 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a chwilio am yr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 </w:t>
            </w:r>
            <w:r>
              <w:rPr>
                <w:rStyle w:val="DefaultParagraphFont"/>
                <w:rFonts w:ascii="Segoe UI" w:eastAsia="Segoe UI" w:hAnsi="Segoe UI" w:cs="Segoe 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hysbysiadau canlynol, hunan-adeiladwyr </w:t>
            </w:r>
            <w:hyperlink r:id="rId7" w:history="1">
              <w:r>
                <w:rPr>
                  <w:rStyle w:val="DefaultParagraphFont"/>
                  <w:rFonts w:ascii="Segoe UI" w:eastAsia="Segoe UI" w:hAnsi="Segoe UI" w:cs="Segoe UI"/>
                  <w:b/>
                  <w:bCs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2E74B5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>VAT431B</w:t>
              </w:r>
            </w:hyperlink>
            <w:r>
              <w:rPr>
                <w:rStyle w:val="DefaultParagraphFont"/>
                <w:rFonts w:ascii="Segoe UI" w:eastAsia="Segoe UI" w:hAnsi="Segoe UI" w:cs="Segoe 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; troswyr </w:t>
            </w:r>
            <w:hyperlink r:id="rId5" w:history="1">
              <w:r>
                <w:rPr>
                  <w:rStyle w:val="DefaultParagraphFont"/>
                  <w:rFonts w:ascii="Segoe UI" w:eastAsia="Segoe UI" w:hAnsi="Segoe UI" w:cs="Segoe UI"/>
                  <w:b/>
                  <w:bCs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2E74B5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>VAT431C</w:t>
              </w:r>
            </w:hyperlink>
            <w:r>
              <w:rPr>
                <w:rStyle w:val="DefaultParagraphFont"/>
                <w:rFonts w:ascii="Segoe UI" w:eastAsia="Segoe UI" w:hAnsi="Segoe UI" w:cs="Segoe 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ja-JP" w:bidi="ar-SA"/>
              </w:rPr>
              <w:t xml:space="preserve">; adnewyddu eiddo sy'n wag am ddwy flynedd neu fwy neu waith effeithlonrwydd ynni </w:t>
            </w:r>
            <w:hyperlink r:id="rId4" w:history="1">
              <w:r>
                <w:rPr>
                  <w:rStyle w:val="DefaultParagraphFont"/>
                  <w:rFonts w:ascii="Segoe UI" w:eastAsia="Segoe UI" w:hAnsi="Segoe UI" w:cs="Segoe UI"/>
                  <w:b/>
                  <w:bCs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2E74B5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>Hysbysiad TAW 708.</w:t>
              </w:r>
              <w:r>
                <w:rPr>
                  <w:rStyle w:val="DefaultParagraphFont"/>
                  <w:rFonts w:ascii="Segoe UI" w:eastAsia="Segoe UI" w:hAnsi="Segoe UI" w:cs="Segoe U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2E74B5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ja-JP" w:bidi="ar-SA"/>
                </w:rPr>
                <w:t xml:space="preserve"> </w:t>
              </w:r>
            </w:hyperlink>
          </w:p>
          <w:p w:rsidR="008548A3" w:rsidRPr="008548A3" w:rsidP="008548A3" w14:paraId="676BB52E" w14:textId="2504F0B1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after="60" w:line="240" w:lineRule="auto"/>
              <w:ind w:left="144" w:firstLine="0"/>
              <w:rPr>
                <w:rFonts w:asciiTheme="majorHAnsi" w:eastAsiaTheme="minorEastAsia" w:hAnsiTheme="majorHAnsi" w:cstheme="majorHAnsi"/>
                <w:b w:val="0"/>
                <w:bCs/>
                <w:color w:val="1F4E79" w:themeColor="accent5" w:themeShade="80"/>
                <w:sz w:val="24"/>
                <w:szCs w:val="24"/>
                <w:lang w:val="en-US" w:eastAsia="ja-JP" w:bidi="ar-SA"/>
              </w:rPr>
            </w:pPr>
          </w:p>
        </w:tc>
      </w:tr>
    </w:tbl>
    <w:p w:rsidR="00860905" w:rsidP="00860905" w14:paraId="2C8D1D9F" w14:textId="77777777">
      <w:pPr>
        <w:jc w:val="center"/>
        <w:rPr>
          <w:rFonts w:asciiTheme="majorHAnsi" w:hAnsiTheme="majorHAnsi" w:cs="Times New Roman (Body CS)"/>
          <w:b/>
          <w:caps/>
          <w:color w:val="FFFFFF" w:themeColor="background1"/>
          <w:spacing w:val="10"/>
          <w:kern w:val="28"/>
          <w:sz w:val="44"/>
          <w:szCs w:val="44"/>
        </w:rPr>
      </w:pPr>
    </w:p>
    <w:p w:rsidR="00860905" w:rsidP="00860905" w14:paraId="30FE35CC" w14:textId="77777777">
      <w:pPr>
        <w:jc w:val="center"/>
        <w:rPr>
          <w:rFonts w:asciiTheme="majorHAnsi" w:hAnsiTheme="majorHAnsi" w:cs="Times New Roman (Body CS)"/>
          <w:b/>
          <w:caps/>
          <w:color w:val="FFFFFF" w:themeColor="background1"/>
          <w:spacing w:val="10"/>
          <w:kern w:val="28"/>
          <w:sz w:val="44"/>
          <w:szCs w:val="44"/>
        </w:rPr>
      </w:pPr>
    </w:p>
    <w:p w:rsidR="001273C1" w:rsidRPr="008C2860" w:rsidP="00860905" w14:paraId="38648575" w14:textId="3B3E57A8">
      <w:pPr>
        <w:pStyle w:val="Signature"/>
        <w:ind w:left="-851"/>
      </w:pPr>
    </w:p>
    <w:sectPr w:rsidSect="005140CB">
      <w:footerReference w:type="default" r:id="rId8"/>
      <w:pgSz w:w="12240" w:h="15840" w:code="1"/>
      <w:pgMar w:top="720" w:right="1440" w:bottom="720" w:left="144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175F" w:rsidP="0088175F" w14:paraId="7413802A" w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E5035"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7C4803"/>
    <w:multiLevelType w:val="hybridMultilevel"/>
    <w:tmpl w:val="9F565702"/>
    <w:lvl w:ilvl="0">
      <w:start w:val="1"/>
      <w:numFmt w:val="bullet"/>
      <w:lvlText w:val=""/>
      <w:lvlJc w:val="left"/>
      <w:pPr>
        <w:ind w:left="89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1">
    <w:nsid w:val="4EE43F0F"/>
    <w:multiLevelType w:val="hybridMultilevel"/>
    <w:tmpl w:val="E93055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F5496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F5496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F5496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F5496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F5496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F5496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05"/>
    <w:rsid w:val="00017EFD"/>
    <w:rsid w:val="000322BF"/>
    <w:rsid w:val="000A562D"/>
    <w:rsid w:val="000B112D"/>
    <w:rsid w:val="000C6A97"/>
    <w:rsid w:val="000E697B"/>
    <w:rsid w:val="00101993"/>
    <w:rsid w:val="00117948"/>
    <w:rsid w:val="001238BC"/>
    <w:rsid w:val="001273C1"/>
    <w:rsid w:val="001825FE"/>
    <w:rsid w:val="001E2472"/>
    <w:rsid w:val="002129B0"/>
    <w:rsid w:val="0028543A"/>
    <w:rsid w:val="00295C0C"/>
    <w:rsid w:val="002A04F7"/>
    <w:rsid w:val="002E52EE"/>
    <w:rsid w:val="003262F3"/>
    <w:rsid w:val="00346FDE"/>
    <w:rsid w:val="00386778"/>
    <w:rsid w:val="003C0DAF"/>
    <w:rsid w:val="003E0898"/>
    <w:rsid w:val="00403116"/>
    <w:rsid w:val="004079F8"/>
    <w:rsid w:val="00410067"/>
    <w:rsid w:val="0046523A"/>
    <w:rsid w:val="004661BE"/>
    <w:rsid w:val="004A4B64"/>
    <w:rsid w:val="004B5850"/>
    <w:rsid w:val="004B6087"/>
    <w:rsid w:val="004E5035"/>
    <w:rsid w:val="004F5C8E"/>
    <w:rsid w:val="005140CB"/>
    <w:rsid w:val="00517215"/>
    <w:rsid w:val="00545041"/>
    <w:rsid w:val="00561521"/>
    <w:rsid w:val="00590B0E"/>
    <w:rsid w:val="005B6CE2"/>
    <w:rsid w:val="005D1F41"/>
    <w:rsid w:val="005E039D"/>
    <w:rsid w:val="006453D3"/>
    <w:rsid w:val="0068698F"/>
    <w:rsid w:val="006C5ECB"/>
    <w:rsid w:val="0071603F"/>
    <w:rsid w:val="00741991"/>
    <w:rsid w:val="0076017A"/>
    <w:rsid w:val="007A6C69"/>
    <w:rsid w:val="007C13B2"/>
    <w:rsid w:val="007C7858"/>
    <w:rsid w:val="00805667"/>
    <w:rsid w:val="008125B2"/>
    <w:rsid w:val="008548A3"/>
    <w:rsid w:val="0085761F"/>
    <w:rsid w:val="00860905"/>
    <w:rsid w:val="0088175F"/>
    <w:rsid w:val="008961F2"/>
    <w:rsid w:val="0089777F"/>
    <w:rsid w:val="008C2860"/>
    <w:rsid w:val="008F0570"/>
    <w:rsid w:val="008F0E66"/>
    <w:rsid w:val="008F4E62"/>
    <w:rsid w:val="00920712"/>
    <w:rsid w:val="00931827"/>
    <w:rsid w:val="0095165A"/>
    <w:rsid w:val="00987BCC"/>
    <w:rsid w:val="009A3E0F"/>
    <w:rsid w:val="009B5D53"/>
    <w:rsid w:val="009B77E5"/>
    <w:rsid w:val="009D403F"/>
    <w:rsid w:val="009E07E5"/>
    <w:rsid w:val="00A010ED"/>
    <w:rsid w:val="00A54BD5"/>
    <w:rsid w:val="00A618AB"/>
    <w:rsid w:val="00A97CC8"/>
    <w:rsid w:val="00AA4E06"/>
    <w:rsid w:val="00AA528E"/>
    <w:rsid w:val="00AB131D"/>
    <w:rsid w:val="00AF452C"/>
    <w:rsid w:val="00B0209E"/>
    <w:rsid w:val="00B13AE2"/>
    <w:rsid w:val="00BC617C"/>
    <w:rsid w:val="00BE3CD6"/>
    <w:rsid w:val="00BF78FF"/>
    <w:rsid w:val="00C023DE"/>
    <w:rsid w:val="00C16778"/>
    <w:rsid w:val="00C27980"/>
    <w:rsid w:val="00C7764C"/>
    <w:rsid w:val="00CC4E29"/>
    <w:rsid w:val="00CC612B"/>
    <w:rsid w:val="00D16EFA"/>
    <w:rsid w:val="00D31D4F"/>
    <w:rsid w:val="00D65CCD"/>
    <w:rsid w:val="00DA7021"/>
    <w:rsid w:val="00DD3056"/>
    <w:rsid w:val="00E0401F"/>
    <w:rsid w:val="00EA06FB"/>
    <w:rsid w:val="00EE3B0A"/>
    <w:rsid w:val="00F23ED1"/>
    <w:rsid w:val="00F42EAE"/>
    <w:rsid w:val="00F46710"/>
    <w:rsid w:val="00F535B0"/>
    <w:rsid w:val="00F7501B"/>
    <w:rsid w:val="00F9769D"/>
    <w:rsid w:val="00FB2EE0"/>
    <w:rsid w:val="00FC68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B2E1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B11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12D"/>
    <w:pPr>
      <w:keepNext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ind w:left="-1354" w:right="-1440" w:firstLine="1354"/>
      <w:outlineLvl w:val="0"/>
    </w:pPr>
    <w:rPr>
      <w:rFonts w:asciiTheme="majorHAnsi" w:hAnsiTheme="majorHAnsi" w:cs="Times New Roman (Body CS)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112D"/>
    <w:pPr>
      <w:keepNext/>
      <w:spacing w:after="0"/>
      <w:outlineLvl w:val="1"/>
    </w:pPr>
    <w:rPr>
      <w:rFonts w:asciiTheme="majorHAnsi" w:hAnsiTheme="majorHAnsi" w:cs="Times New Roman (Body CS)"/>
      <w:color w:val="4472C4" w:themeColor="accent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8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8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08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08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08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0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0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12D"/>
    <w:pPr>
      <w:spacing w:before="0"/>
      <w:contextualSpacing/>
    </w:pPr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2D"/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B112D"/>
    <w:pPr>
      <w:spacing w:after="240" w:line="240" w:lineRule="auto"/>
      <w:jc w:val="center"/>
    </w:pPr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112D"/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12D"/>
    <w:rPr>
      <w:rFonts w:asciiTheme="majorHAnsi" w:hAnsiTheme="majorHAnsi" w:cs="Times New Roman (Body CS)"/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410067"/>
    <w:pPr>
      <w:spacing w:after="160" w:line="264" w:lineRule="auto"/>
      <w:ind w:right="576"/>
    </w:pPr>
    <w:rPr>
      <w:i/>
      <w:iCs/>
      <w:color w:val="4472C4" w:themeColor="accen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basedOn w:val="Normal"/>
    <w:link w:val="NoSpacingChar"/>
    <w:uiPriority w:val="1"/>
    <w:qFormat/>
    <w:rsid w:val="004B6087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B112D"/>
    <w:rPr>
      <w:rFonts w:asciiTheme="majorHAnsi" w:hAnsiTheme="majorHAnsi" w:cs="Times New Roman (Body CS)"/>
      <w:color w:val="4472C4" w:themeColor="accent1"/>
      <w:spacing w:val="15"/>
    </w:rPr>
  </w:style>
  <w:style w:type="paragraph" w:styleId="ListBullet">
    <w:name w:val="List Bullet"/>
    <w:basedOn w:val="Normal"/>
    <w:uiPriority w:val="1"/>
    <w:qFormat/>
    <w:rsid w:val="007A6C69"/>
    <w:pPr>
      <w:numPr>
        <w:numId w:val="2"/>
      </w:numPr>
      <w:spacing w:after="60"/>
    </w:pPr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12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A04F7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3864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12D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</w:rPr>
  </w:style>
  <w:style w:type="table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rsid w:val="000B112D"/>
    <w:pPr>
      <w:spacing w:before="120" w:after="120" w:line="240" w:lineRule="auto"/>
    </w:pPr>
    <w:rPr>
      <w:rFonts w:eastAsiaTheme="minorHAnsi"/>
      <w:color w:val="404040" w:themeColor="text1" w:themeTint="BF"/>
      <w:sz w:val="18"/>
      <w:szCs w:val="18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rFonts w:asciiTheme="majorHAnsi" w:hAnsiTheme="majorHAnsi"/>
        <w:b w:val="0"/>
        <w:i w:val="0"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FootnoteText">
    <w:name w:val="footnote text"/>
    <w:basedOn w:val="Normal"/>
    <w:link w:val="FootnoteTextChar"/>
    <w:uiPriority w:val="12"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B112D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0B112D"/>
    <w:rPr>
      <w:sz w:val="20"/>
      <w:szCs w:val="20"/>
    </w:rPr>
  </w:style>
  <w:style w:type="character" w:styleId="Strong">
    <w:name w:val="Strong"/>
    <w:uiPriority w:val="22"/>
    <w:qFormat/>
    <w:rsid w:val="004B60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08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087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semiHidden/>
    <w:qFormat/>
    <w:rsid w:val="004B6087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608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112D"/>
    <w:rPr>
      <w:i/>
      <w:iCs/>
      <w:color w:val="4472C4" w:themeColor="accent1"/>
      <w:sz w:val="20"/>
      <w:szCs w:val="20"/>
    </w:rPr>
  </w:style>
  <w:style w:type="character" w:styleId="IntenseReference">
    <w:name w:val="Intense Reference"/>
    <w:uiPriority w:val="32"/>
    <w:semiHidden/>
    <w:qFormat/>
    <w:rsid w:val="004B6087"/>
    <w:rPr>
      <w:b/>
      <w:bCs/>
      <w:i/>
      <w:iCs/>
      <w:caps/>
      <w:color w:val="4472C4" w:themeColor="accent1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8961F2"/>
    <w:rPr>
      <w:color w:val="538135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87"/>
    <w:rPr>
      <w:caps/>
      <w:color w:val="1F3763" w:themeColor="accent1" w:themeShade="7F"/>
      <w:spacing w:val="1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087"/>
    <w:rPr>
      <w:b/>
      <w:bCs/>
      <w:color w:val="2F5496" w:themeColor="accent1" w:themeShade="BF"/>
      <w:sz w:val="16"/>
      <w:szCs w:val="16"/>
    </w:rPr>
  </w:style>
  <w:style w:type="character" w:styleId="Emphasis">
    <w:name w:val="Emphasis"/>
    <w:uiPriority w:val="20"/>
    <w:semiHidden/>
    <w:qFormat/>
    <w:rsid w:val="004B6087"/>
    <w:rPr>
      <w:caps/>
      <w:color w:val="1F3763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B6087"/>
    <w:rPr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4B60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4B608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112D"/>
    <w:rPr>
      <w:i/>
      <w:iCs/>
      <w:sz w:val="20"/>
      <w:szCs w:val="20"/>
    </w:rPr>
  </w:style>
  <w:style w:type="character" w:styleId="SubtleEmphasis">
    <w:name w:val="Subtle Emphasis"/>
    <w:uiPriority w:val="19"/>
    <w:semiHidden/>
    <w:qFormat/>
    <w:rsid w:val="004B6087"/>
    <w:rPr>
      <w:i/>
      <w:iCs/>
      <w:color w:val="1F3763" w:themeColor="accent1" w:themeShade="7F"/>
    </w:rPr>
  </w:style>
  <w:style w:type="character" w:styleId="SubtleReference">
    <w:name w:val="Subtle Reference"/>
    <w:uiPriority w:val="31"/>
    <w:semiHidden/>
    <w:qFormat/>
    <w:rsid w:val="004B6087"/>
    <w:rPr>
      <w:b/>
      <w:bCs/>
      <w:color w:val="4472C4" w:themeColor="accent1"/>
    </w:rPr>
  </w:style>
  <w:style w:type="character" w:styleId="BookTitle">
    <w:name w:val="Book Title"/>
    <w:uiPriority w:val="33"/>
    <w:semiHidden/>
    <w:qFormat/>
    <w:rsid w:val="004B608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087"/>
    <w:pPr>
      <w:outlineLvl w:val="9"/>
    </w:pPr>
  </w:style>
  <w:style w:type="table" w:styleId="ListTable1LightAccent1">
    <w:name w:val="List Table 1 Light Accent 1"/>
    <w:basedOn w:val="TableNormal"/>
    <w:uiPriority w:val="46"/>
    <w:rsid w:val="002854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Accent2">
    <w:name w:val="List Table 1 Light Accent 2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Accent4">
    <w:name w:val="List Table 1 Light Accent 4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Accent5">
    <w:name w:val="Grid Table 1 Light Accent 5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Accent2">
    <w:name w:val="Grid Table 2 Accent 2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">
    <w:name w:val="Grid Table 3"/>
    <w:basedOn w:val="TableNormal"/>
    <w:uiPriority w:val="48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Accent6">
    <w:name w:val="Grid Table 2 Accent 6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Accent5">
    <w:name w:val="Grid Table 2 Accent 5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Accent5">
    <w:name w:val="List Table 6 Colorful Accent 5"/>
    <w:basedOn w:val="TableNormal"/>
    <w:uiPriority w:val="51"/>
    <w:rsid w:val="0068698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Accent1">
    <w:name w:val="List Table 6 Colorful Accent 1"/>
    <w:basedOn w:val="TableNormal"/>
    <w:uiPriority w:val="51"/>
    <w:rsid w:val="0068698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gov.uk/guidance/buildings-and-construction-vat-notice-708" TargetMode="External" /><Relationship Id="rId5" Type="http://schemas.openxmlformats.org/officeDocument/2006/relationships/hyperlink" Target="https://www.gov.uk/government/publications/vat-refunds-for-diy-housebuilders-claim-form-and-notes-for-conversions-vat431c" TargetMode="External" /><Relationship Id="rId6" Type="http://schemas.openxmlformats.org/officeDocument/2006/relationships/hyperlink" Target="https://www.gov.uk/government/organisations/hm-revenue-customs" TargetMode="External" /><Relationship Id="rId7" Type="http://schemas.openxmlformats.org/officeDocument/2006/relationships/hyperlink" Target="https://www.gov.uk/government/publications/vat-refunds-for-diy-housebuilders-claim-form-for-new-houses-vat431nb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pardon\AppData\Local\Microsoft\Office\16.0\DTS\en-US%7BB508A6A6-576F-405D-B7E8-80EC79D924B6%7D\%7B138BCDAA-2DDC-41AC-907E-D6278AD4D64E%7Dtf02911896_win32.dotx" TargetMode="External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3">
      <a:majorFont>
        <a:latin typeface="Segoe U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{138BCDAA-2DDC-41AC-907E-D6278AD4D64E}tf02911896_win32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2023-05-19T12:50:00Z</dcterms:created>
  <dcterms:modified xsi:type="dcterms:W3CDTF">2023-05-19T13:28:00Z</dcterms:modified>
</cp:coreProperties>
</file>