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693B" w14:textId="77777777" w:rsidR="00860905" w:rsidRPr="00860905" w:rsidRDefault="00860905" w:rsidP="00860905">
      <w:pPr>
        <w:spacing w:line="240" w:lineRule="auto"/>
        <w:jc w:val="center"/>
        <w:rPr>
          <w:rFonts w:asciiTheme="majorHAnsi" w:hAnsiTheme="majorHAnsi" w:cs="Times New Roman (Body CS)"/>
          <w:b/>
          <w:caps/>
          <w:color w:val="FFFFFF" w:themeColor="background1"/>
          <w:spacing w:val="10"/>
          <w:kern w:val="28"/>
          <w:sz w:val="44"/>
          <w:szCs w:val="44"/>
        </w:rPr>
      </w:pPr>
      <w:r w:rsidRPr="00860905">
        <w:rPr>
          <w:rFonts w:asciiTheme="majorHAnsi" w:hAnsiTheme="majorHAnsi" w:cs="Times New Roman (Body CS)"/>
          <w:b/>
          <w:caps/>
          <w:color w:val="FFFFFF" w:themeColor="background1"/>
          <w:spacing w:val="10"/>
          <w:kern w:val="28"/>
          <w:sz w:val="44"/>
          <w:szCs w:val="44"/>
        </w:rPr>
        <w:t>Welsh Empty Property Initiative</w:t>
      </w:r>
    </w:p>
    <w:p w14:paraId="1C76BDAA" w14:textId="77777777" w:rsidR="00860905" w:rsidRDefault="00860905" w:rsidP="00860905">
      <w:pPr>
        <w:jc w:val="center"/>
        <w:rPr>
          <w:rFonts w:asciiTheme="majorHAnsi" w:hAnsiTheme="majorHAnsi" w:cs="Times New Roman (Body CS)"/>
          <w:b/>
          <w:caps/>
          <w:color w:val="FFFFFF" w:themeColor="background1"/>
          <w:spacing w:val="10"/>
          <w:kern w:val="28"/>
          <w:sz w:val="44"/>
          <w:szCs w:val="44"/>
        </w:rPr>
      </w:pPr>
      <w:r w:rsidRPr="00860905">
        <w:rPr>
          <w:rFonts w:asciiTheme="majorHAnsi" w:hAnsiTheme="majorHAnsi" w:cs="Times New Roman (Body CS)"/>
          <w:b/>
          <w:caps/>
          <w:color w:val="FFFFFF" w:themeColor="background1"/>
          <w:spacing w:val="10"/>
          <w:kern w:val="28"/>
          <w:sz w:val="44"/>
          <w:szCs w:val="44"/>
        </w:rPr>
        <w:t>“Houses into Homes”</w:t>
      </w:r>
      <w:r w:rsidR="00E0401F" w:rsidRPr="00860905">
        <w:rPr>
          <w:noProof/>
          <w:sz w:val="12"/>
          <w:szCs w:val="12"/>
        </w:rPr>
        <mc:AlternateContent>
          <mc:Choice Requires="wps">
            <w:drawing>
              <wp:anchor distT="0" distB="0" distL="114300" distR="114300" simplePos="0" relativeHeight="251659264" behindDoc="1" locked="1" layoutInCell="1" allowOverlap="1" wp14:anchorId="03609F7E" wp14:editId="50557F39">
                <wp:simplePos x="0" y="0"/>
                <wp:positionH relativeFrom="page">
                  <wp:align>left</wp:align>
                </wp:positionH>
                <wp:positionV relativeFrom="page">
                  <wp:posOffset>-557530</wp:posOffset>
                </wp:positionV>
                <wp:extent cx="7772400" cy="2232025"/>
                <wp:effectExtent l="0" t="0" r="0" b="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232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D093" id="Rectangle 68" o:spid="_x0000_s1026" alt="&quot;&quot;" style="position:absolute;margin-left:0;margin-top:-43.9pt;width:612pt;height:175.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" fillcolor="#4472c4 [3204]" stroked="f" strokeweight="1pt">
                <w10:wrap anchorx="page" anchory="page"/>
                <w10:anchorlock/>
              </v:rect>
            </w:pict>
          </mc:Fallback>
        </mc:AlternateContent>
      </w:r>
    </w:p>
    <w:tbl>
      <w:tblPr>
        <w:tblStyle w:val="TableGrid"/>
        <w:tblpPr w:leftFromText="180" w:rightFromText="180" w:vertAnchor="text" w:horzAnchor="page" w:tblpX="526" w:tblpY="48"/>
        <w:tblW w:w="11612" w:type="dxa"/>
        <w:tblLook w:val="04A0" w:firstRow="1" w:lastRow="0" w:firstColumn="1" w:lastColumn="0" w:noHBand="0" w:noVBand="1"/>
      </w:tblPr>
      <w:tblGrid>
        <w:gridCol w:w="11612"/>
      </w:tblGrid>
      <w:tr w:rsidR="00860905" w14:paraId="09ACC010" w14:textId="77777777" w:rsidTr="00EE3B0A">
        <w:trPr>
          <w:trHeight w:val="583"/>
        </w:trPr>
        <w:tc>
          <w:tcPr>
            <w:tcW w:w="11612" w:type="dxa"/>
            <w:tcBorders>
              <w:top w:val="nil"/>
              <w:left w:val="nil"/>
              <w:bottom w:val="nil"/>
              <w:right w:val="nil"/>
            </w:tcBorders>
          </w:tcPr>
          <w:p w14:paraId="17B590F1" w14:textId="77777777" w:rsidR="008548A3" w:rsidRDefault="008548A3" w:rsidP="00860905">
            <w:pPr>
              <w:rPr>
                <w:rFonts w:asciiTheme="majorHAnsi" w:hAnsiTheme="majorHAnsi" w:cstheme="majorHAnsi"/>
                <w:b/>
                <w:bCs/>
                <w:color w:val="2F5496" w:themeColor="accent1" w:themeShade="BF"/>
                <w:sz w:val="24"/>
                <w:szCs w:val="24"/>
                <w:u w:val="single"/>
              </w:rPr>
            </w:pPr>
          </w:p>
          <w:p w14:paraId="06B93180" w14:textId="26E41991" w:rsidR="00860905" w:rsidRPr="00EE3B0A" w:rsidRDefault="00860905" w:rsidP="00860905">
            <w:pPr>
              <w:rPr>
                <w:rFonts w:asciiTheme="majorHAnsi" w:hAnsiTheme="majorHAnsi" w:cstheme="majorHAnsi"/>
                <w:b/>
                <w:bCs/>
                <w:sz w:val="12"/>
                <w:szCs w:val="12"/>
                <w:u w:val="single"/>
              </w:rPr>
            </w:pPr>
            <w:r w:rsidRPr="00EE3B0A">
              <w:rPr>
                <w:rFonts w:asciiTheme="majorHAnsi" w:hAnsiTheme="majorHAnsi" w:cstheme="majorHAnsi"/>
                <w:b/>
                <w:bCs/>
                <w:color w:val="2F5496" w:themeColor="accent1" w:themeShade="BF"/>
                <w:sz w:val="24"/>
                <w:szCs w:val="24"/>
                <w:u w:val="single"/>
              </w:rPr>
              <w:t>Bringing empty properties back into use – now less taxing!</w:t>
            </w:r>
          </w:p>
        </w:tc>
      </w:tr>
      <w:tr w:rsidR="00860905" w14:paraId="10D4D03D" w14:textId="77777777" w:rsidTr="00EE3B0A">
        <w:trPr>
          <w:trHeight w:val="1519"/>
        </w:trPr>
        <w:tc>
          <w:tcPr>
            <w:tcW w:w="11612" w:type="dxa"/>
            <w:tcBorders>
              <w:top w:val="nil"/>
              <w:left w:val="nil"/>
              <w:bottom w:val="nil"/>
              <w:right w:val="nil"/>
            </w:tcBorders>
          </w:tcPr>
          <w:p w14:paraId="4350E102" w14:textId="77777777" w:rsidR="00860905" w:rsidRPr="00860905" w:rsidRDefault="00860905" w:rsidP="00860905">
            <w:pPr>
              <w:pStyle w:val="ListBullet"/>
              <w:numPr>
                <w:ilvl w:val="0"/>
                <w:numId w:val="0"/>
              </w:numPr>
              <w:rPr>
                <w:rFonts w:asciiTheme="majorHAnsi" w:hAnsiTheme="majorHAnsi" w:cstheme="majorHAnsi"/>
                <w:b w:val="0"/>
                <w:bCs/>
                <w:sz w:val="24"/>
                <w:szCs w:val="24"/>
              </w:rPr>
            </w:pPr>
            <w:r w:rsidRPr="00EE3B0A">
              <w:rPr>
                <w:rFonts w:asciiTheme="majorHAnsi" w:hAnsiTheme="majorHAnsi" w:cstheme="majorHAnsi"/>
                <w:b w:val="0"/>
                <w:bCs/>
                <w:color w:val="auto"/>
                <w:sz w:val="24"/>
                <w:szCs w:val="24"/>
              </w:rPr>
              <w:t xml:space="preserve">Bringing empty properties back into use can be costly particularly when extensive renovations are required. Domestic building work, including repair, maintenance and improvement is usually charged at the standard rate of 20%. However, there are a variety of VAT concessions available to renovators, self‐builders and converters that can substantially reduce the cost of any project   </w:t>
            </w:r>
          </w:p>
        </w:tc>
      </w:tr>
      <w:tr w:rsidR="00860905" w14:paraId="0F716F14" w14:textId="77777777" w:rsidTr="00EE3B0A">
        <w:trPr>
          <w:trHeight w:val="538"/>
        </w:trPr>
        <w:tc>
          <w:tcPr>
            <w:tcW w:w="11612" w:type="dxa"/>
            <w:tcBorders>
              <w:top w:val="nil"/>
              <w:left w:val="nil"/>
              <w:bottom w:val="nil"/>
              <w:right w:val="nil"/>
            </w:tcBorders>
          </w:tcPr>
          <w:p w14:paraId="07BA418D" w14:textId="0A4044AB" w:rsidR="00860905" w:rsidRPr="00EE3B0A" w:rsidRDefault="00860905" w:rsidP="00860905">
            <w:pPr>
              <w:pStyle w:val="ListBullet"/>
              <w:numPr>
                <w:ilvl w:val="0"/>
                <w:numId w:val="0"/>
              </w:numPr>
              <w:rPr>
                <w:rFonts w:asciiTheme="majorHAnsi" w:hAnsiTheme="majorHAnsi" w:cstheme="majorHAnsi"/>
                <w:b w:val="0"/>
                <w:bCs/>
                <w:sz w:val="24"/>
                <w:szCs w:val="24"/>
                <w:u w:val="single"/>
              </w:rPr>
            </w:pPr>
            <w:r w:rsidRPr="00EE3B0A">
              <w:rPr>
                <w:rFonts w:asciiTheme="majorHAnsi" w:hAnsiTheme="majorHAnsi" w:cstheme="majorHAnsi"/>
                <w:bCs/>
                <w:color w:val="2F5496" w:themeColor="accent1" w:themeShade="BF"/>
                <w:sz w:val="24"/>
                <w:szCs w:val="24"/>
                <w:u w:val="single"/>
              </w:rPr>
              <w:t>VAT – residential properties empty for at least two years.</w:t>
            </w:r>
          </w:p>
        </w:tc>
      </w:tr>
      <w:tr w:rsidR="00860905" w14:paraId="76C47F3E" w14:textId="77777777" w:rsidTr="00EE3B0A">
        <w:trPr>
          <w:trHeight w:val="2111"/>
        </w:trPr>
        <w:tc>
          <w:tcPr>
            <w:tcW w:w="11612" w:type="dxa"/>
            <w:tcBorders>
              <w:top w:val="nil"/>
              <w:left w:val="nil"/>
              <w:bottom w:val="nil"/>
              <w:right w:val="nil"/>
            </w:tcBorders>
          </w:tcPr>
          <w:p w14:paraId="5ACB431C" w14:textId="4A3D21C2" w:rsidR="00860905" w:rsidRPr="00EE3B0A" w:rsidRDefault="00860905" w:rsidP="00860905">
            <w:pPr>
              <w:pStyle w:val="ListBullet"/>
              <w:numPr>
                <w:ilvl w:val="0"/>
                <w:numId w:val="0"/>
              </w:numPr>
              <w:ind w:left="29"/>
              <w:rPr>
                <w:rFonts w:asciiTheme="majorHAnsi" w:hAnsiTheme="majorHAnsi" w:cstheme="majorHAnsi"/>
                <w:b w:val="0"/>
                <w:bCs/>
                <w:color w:val="auto"/>
                <w:sz w:val="24"/>
                <w:szCs w:val="24"/>
              </w:rPr>
            </w:pPr>
            <w:r w:rsidRPr="00EE3B0A">
              <w:rPr>
                <w:rFonts w:asciiTheme="majorHAnsi" w:hAnsiTheme="majorHAnsi" w:cstheme="majorHAnsi"/>
                <w:b w:val="0"/>
                <w:bCs/>
                <w:color w:val="auto"/>
                <w:sz w:val="24"/>
                <w:szCs w:val="24"/>
              </w:rPr>
              <w:t>The renovation of residential properties that have been empty for at least 2 years will be eligible for a</w:t>
            </w:r>
            <w:r w:rsidRPr="00EE3B0A">
              <w:rPr>
                <w:rFonts w:asciiTheme="majorHAnsi" w:hAnsiTheme="majorHAnsi" w:cstheme="majorHAnsi"/>
                <w:b w:val="0"/>
                <w:bCs/>
                <w:color w:val="auto"/>
                <w:sz w:val="24"/>
                <w:szCs w:val="24"/>
              </w:rPr>
              <w:t xml:space="preserve"> </w:t>
            </w:r>
            <w:r w:rsidRPr="00EE3B0A">
              <w:rPr>
                <w:rFonts w:asciiTheme="majorHAnsi" w:hAnsiTheme="majorHAnsi" w:cstheme="majorHAnsi"/>
                <w:b w:val="0"/>
                <w:bCs/>
                <w:color w:val="auto"/>
                <w:sz w:val="24"/>
                <w:szCs w:val="24"/>
              </w:rPr>
              <w:t>reduced</w:t>
            </w:r>
            <w:r w:rsidRPr="00EE3B0A">
              <w:rPr>
                <w:rFonts w:asciiTheme="majorHAnsi" w:hAnsiTheme="majorHAnsi" w:cstheme="majorHAnsi"/>
                <w:b w:val="0"/>
                <w:bCs/>
                <w:color w:val="auto"/>
                <w:sz w:val="24"/>
                <w:szCs w:val="24"/>
              </w:rPr>
              <w:t xml:space="preserve"> r</w:t>
            </w:r>
            <w:r w:rsidRPr="00EE3B0A">
              <w:rPr>
                <w:rFonts w:asciiTheme="majorHAnsi" w:hAnsiTheme="majorHAnsi" w:cstheme="majorHAnsi"/>
                <w:b w:val="0"/>
                <w:bCs/>
                <w:color w:val="auto"/>
                <w:sz w:val="24"/>
                <w:szCs w:val="24"/>
              </w:rPr>
              <w:t>ate of VAT 5%. This applies to labour and materials associated with repairs, alterations, construction of</w:t>
            </w:r>
            <w:r w:rsidRPr="00EE3B0A">
              <w:rPr>
                <w:rFonts w:asciiTheme="majorHAnsi" w:hAnsiTheme="majorHAnsi" w:cstheme="majorHAnsi"/>
                <w:b w:val="0"/>
                <w:bCs/>
                <w:color w:val="auto"/>
                <w:sz w:val="24"/>
                <w:szCs w:val="24"/>
              </w:rPr>
              <w:t xml:space="preserve"> </w:t>
            </w:r>
            <w:r w:rsidRPr="00EE3B0A">
              <w:rPr>
                <w:rFonts w:asciiTheme="majorHAnsi" w:hAnsiTheme="majorHAnsi" w:cstheme="majorHAnsi"/>
                <w:b w:val="0"/>
                <w:bCs/>
                <w:color w:val="auto"/>
                <w:sz w:val="24"/>
                <w:szCs w:val="24"/>
              </w:rPr>
              <w:t>associated garages and hard landscaping.</w:t>
            </w:r>
          </w:p>
          <w:p w14:paraId="0DBF163B" w14:textId="3BB32B44" w:rsidR="00860905" w:rsidRPr="00860905" w:rsidRDefault="00860905" w:rsidP="00860905">
            <w:pPr>
              <w:pStyle w:val="ListBullet"/>
              <w:numPr>
                <w:ilvl w:val="0"/>
                <w:numId w:val="0"/>
              </w:numPr>
              <w:ind w:left="29"/>
              <w:rPr>
                <w:rFonts w:asciiTheme="majorHAnsi" w:hAnsiTheme="majorHAnsi" w:cstheme="majorHAnsi"/>
                <w:b w:val="0"/>
                <w:bCs/>
                <w:sz w:val="24"/>
                <w:szCs w:val="24"/>
              </w:rPr>
            </w:pPr>
            <w:r w:rsidRPr="00EE3B0A">
              <w:rPr>
                <w:rFonts w:asciiTheme="majorHAnsi" w:hAnsiTheme="majorHAnsi" w:cstheme="majorHAnsi"/>
                <w:b w:val="0"/>
                <w:bCs/>
                <w:color w:val="auto"/>
                <w:sz w:val="24"/>
                <w:szCs w:val="24"/>
              </w:rPr>
              <w:t>To minimise VAT paid, careful consideration needs to be given to who supplies materials and it will usually pay</w:t>
            </w:r>
            <w:r w:rsidRPr="00EE3B0A">
              <w:rPr>
                <w:rFonts w:asciiTheme="majorHAnsi" w:hAnsiTheme="majorHAnsi" w:cstheme="majorHAnsi"/>
                <w:b w:val="0"/>
                <w:bCs/>
                <w:color w:val="auto"/>
                <w:sz w:val="24"/>
                <w:szCs w:val="24"/>
              </w:rPr>
              <w:t xml:space="preserve"> </w:t>
            </w:r>
            <w:r w:rsidRPr="00EE3B0A">
              <w:rPr>
                <w:rFonts w:asciiTheme="majorHAnsi" w:hAnsiTheme="majorHAnsi" w:cstheme="majorHAnsi"/>
                <w:b w:val="0"/>
                <w:bCs/>
                <w:color w:val="auto"/>
                <w:sz w:val="24"/>
                <w:szCs w:val="24"/>
              </w:rPr>
              <w:t>to work with a VAT‐registered builder, as the saving of 15% on materials supplied and fixed (labour and</w:t>
            </w:r>
            <w:r w:rsidRPr="00EE3B0A">
              <w:rPr>
                <w:color w:val="auto"/>
              </w:rPr>
              <w:t xml:space="preserve"> </w:t>
            </w:r>
            <w:r w:rsidRPr="00EE3B0A">
              <w:rPr>
                <w:rFonts w:asciiTheme="majorHAnsi" w:hAnsiTheme="majorHAnsi" w:cstheme="majorHAnsi"/>
                <w:b w:val="0"/>
                <w:bCs/>
                <w:color w:val="auto"/>
                <w:sz w:val="24"/>
                <w:szCs w:val="24"/>
              </w:rPr>
              <w:t>materials) will usually outweigh the saving of 20% VAT on just the labour. There is no equivalent reduced VAT</w:t>
            </w:r>
            <w:r w:rsidRPr="00EE3B0A">
              <w:rPr>
                <w:rFonts w:asciiTheme="majorHAnsi" w:hAnsiTheme="majorHAnsi" w:cstheme="majorHAnsi"/>
                <w:b w:val="0"/>
                <w:bCs/>
                <w:color w:val="auto"/>
                <w:sz w:val="24"/>
                <w:szCs w:val="24"/>
              </w:rPr>
              <w:t xml:space="preserve"> </w:t>
            </w:r>
            <w:r w:rsidRPr="00EE3B0A">
              <w:rPr>
                <w:rFonts w:asciiTheme="majorHAnsi" w:hAnsiTheme="majorHAnsi" w:cstheme="majorHAnsi"/>
                <w:b w:val="0"/>
                <w:bCs/>
                <w:color w:val="auto"/>
                <w:sz w:val="24"/>
                <w:szCs w:val="24"/>
              </w:rPr>
              <w:t>rate for DIY work</w:t>
            </w:r>
            <w:r w:rsidRPr="008548A3">
              <w:rPr>
                <w:rFonts w:asciiTheme="majorHAnsi" w:hAnsiTheme="majorHAnsi" w:cstheme="majorHAnsi"/>
                <w:b w:val="0"/>
                <w:bCs/>
                <w:color w:val="2E74B5" w:themeColor="accent5" w:themeShade="BF"/>
                <w:sz w:val="24"/>
                <w:szCs w:val="24"/>
              </w:rPr>
              <w:t xml:space="preserve"> </w:t>
            </w:r>
            <w:hyperlink r:id="rId7" w:history="1">
              <w:r w:rsidRPr="008548A3">
                <w:rPr>
                  <w:rStyle w:val="Hyperlink"/>
                  <w:rFonts w:asciiTheme="majorHAnsi" w:hAnsiTheme="majorHAnsi" w:cstheme="majorHAnsi"/>
                  <w:color w:val="2E74B5" w:themeColor="accent5" w:themeShade="BF"/>
                  <w:sz w:val="24"/>
                  <w:szCs w:val="24"/>
                </w:rPr>
                <w:t xml:space="preserve">HMRC </w:t>
              </w:r>
              <w:r w:rsidRPr="008548A3">
                <w:rPr>
                  <w:rStyle w:val="Hyperlink"/>
                  <w:rFonts w:asciiTheme="majorHAnsi" w:hAnsiTheme="majorHAnsi" w:cstheme="majorHAnsi"/>
                  <w:color w:val="2E74B5" w:themeColor="accent5" w:themeShade="BF"/>
                  <w:sz w:val="24"/>
                  <w:szCs w:val="24"/>
                </w:rPr>
                <w:t>N</w:t>
              </w:r>
              <w:r w:rsidRPr="008548A3">
                <w:rPr>
                  <w:rStyle w:val="Hyperlink"/>
                  <w:rFonts w:asciiTheme="majorHAnsi" w:hAnsiTheme="majorHAnsi" w:cstheme="majorHAnsi"/>
                  <w:color w:val="2E74B5" w:themeColor="accent5" w:themeShade="BF"/>
                  <w:sz w:val="24"/>
                  <w:szCs w:val="24"/>
                </w:rPr>
                <w:t>otice 708</w:t>
              </w:r>
            </w:hyperlink>
          </w:p>
        </w:tc>
      </w:tr>
      <w:tr w:rsidR="00860905" w14:paraId="4D9365F0" w14:textId="77777777" w:rsidTr="00EE3B0A">
        <w:trPr>
          <w:trHeight w:val="543"/>
        </w:trPr>
        <w:tc>
          <w:tcPr>
            <w:tcW w:w="11612" w:type="dxa"/>
            <w:tcBorders>
              <w:top w:val="nil"/>
              <w:left w:val="nil"/>
              <w:bottom w:val="nil"/>
              <w:right w:val="nil"/>
            </w:tcBorders>
          </w:tcPr>
          <w:p w14:paraId="5093B4FE" w14:textId="38E38772" w:rsidR="00860905" w:rsidRPr="00EE3B0A" w:rsidRDefault="00860905" w:rsidP="00860905">
            <w:pPr>
              <w:pStyle w:val="ListBullet"/>
              <w:numPr>
                <w:ilvl w:val="0"/>
                <w:numId w:val="0"/>
              </w:numPr>
              <w:rPr>
                <w:rFonts w:asciiTheme="majorHAnsi" w:hAnsiTheme="majorHAnsi" w:cstheme="majorHAnsi"/>
                <w:sz w:val="24"/>
                <w:szCs w:val="24"/>
                <w:u w:val="single"/>
              </w:rPr>
            </w:pPr>
            <w:r w:rsidRPr="00EE3B0A">
              <w:rPr>
                <w:rFonts w:asciiTheme="majorHAnsi" w:hAnsiTheme="majorHAnsi" w:cstheme="majorHAnsi"/>
                <w:sz w:val="24"/>
                <w:szCs w:val="24"/>
                <w:u w:val="single"/>
              </w:rPr>
              <w:t>VAT – residential properties empty longer than ten years</w:t>
            </w:r>
          </w:p>
        </w:tc>
      </w:tr>
      <w:tr w:rsidR="00860905" w14:paraId="5342D3E0" w14:textId="77777777" w:rsidTr="008548A3">
        <w:trPr>
          <w:trHeight w:val="2111"/>
        </w:trPr>
        <w:tc>
          <w:tcPr>
            <w:tcW w:w="11612" w:type="dxa"/>
            <w:tcBorders>
              <w:top w:val="nil"/>
              <w:left w:val="nil"/>
              <w:bottom w:val="nil"/>
              <w:right w:val="nil"/>
            </w:tcBorders>
          </w:tcPr>
          <w:p w14:paraId="3C18DA41" w14:textId="45216329" w:rsidR="00EE3B0A" w:rsidRPr="00EE3B0A" w:rsidRDefault="00EE3B0A" w:rsidP="00EE3B0A">
            <w:pPr>
              <w:pStyle w:val="ListBullet"/>
              <w:numPr>
                <w:ilvl w:val="0"/>
                <w:numId w:val="0"/>
              </w:numPr>
              <w:ind w:left="33"/>
              <w:rPr>
                <w:rFonts w:asciiTheme="majorHAnsi" w:hAnsiTheme="majorHAnsi" w:cstheme="majorHAnsi"/>
                <w:b w:val="0"/>
                <w:bCs/>
                <w:color w:val="auto"/>
                <w:sz w:val="24"/>
                <w:szCs w:val="24"/>
              </w:rPr>
            </w:pPr>
            <w:r w:rsidRPr="00EE3B0A">
              <w:rPr>
                <w:rFonts w:asciiTheme="majorHAnsi" w:hAnsiTheme="majorHAnsi" w:cstheme="majorHAnsi"/>
                <w:b w:val="0"/>
                <w:bCs/>
                <w:color w:val="auto"/>
                <w:sz w:val="24"/>
                <w:szCs w:val="24"/>
              </w:rPr>
              <w:t>The renovation of a dwelling that has been empty for ten years or more is treated as a new dwelling created by</w:t>
            </w:r>
            <w:r w:rsidRPr="00EE3B0A">
              <w:rPr>
                <w:rFonts w:asciiTheme="majorHAnsi" w:hAnsiTheme="majorHAnsi" w:cstheme="majorHAnsi"/>
                <w:b w:val="0"/>
                <w:bCs/>
                <w:color w:val="auto"/>
                <w:sz w:val="24"/>
                <w:szCs w:val="24"/>
              </w:rPr>
              <w:t xml:space="preserve"> </w:t>
            </w:r>
            <w:r w:rsidRPr="00EE3B0A">
              <w:rPr>
                <w:rFonts w:asciiTheme="majorHAnsi" w:hAnsiTheme="majorHAnsi" w:cstheme="majorHAnsi"/>
                <w:b w:val="0"/>
                <w:bCs/>
                <w:color w:val="auto"/>
                <w:sz w:val="24"/>
                <w:szCs w:val="24"/>
              </w:rPr>
              <w:t>conversion and assuming the property is to be sold, a VAT‐registered builder must charge a zero rate of VAT on all</w:t>
            </w:r>
            <w:r w:rsidRPr="00EE3B0A">
              <w:rPr>
                <w:rFonts w:asciiTheme="majorHAnsi" w:hAnsiTheme="majorHAnsi" w:cstheme="majorHAnsi"/>
                <w:b w:val="0"/>
                <w:bCs/>
                <w:color w:val="auto"/>
                <w:sz w:val="24"/>
                <w:szCs w:val="24"/>
              </w:rPr>
              <w:t xml:space="preserve"> </w:t>
            </w:r>
            <w:r w:rsidRPr="00EE3B0A">
              <w:rPr>
                <w:rFonts w:asciiTheme="majorHAnsi" w:hAnsiTheme="majorHAnsi" w:cstheme="majorHAnsi"/>
                <w:b w:val="0"/>
                <w:bCs/>
                <w:color w:val="auto"/>
                <w:sz w:val="24"/>
                <w:szCs w:val="24"/>
              </w:rPr>
              <w:t xml:space="preserve">eligible work.   </w:t>
            </w:r>
          </w:p>
          <w:p w14:paraId="54DC90DB" w14:textId="5DF95C83" w:rsidR="00EE3B0A" w:rsidRPr="00EE3B0A" w:rsidRDefault="00EE3B0A" w:rsidP="00EE3B0A">
            <w:pPr>
              <w:pStyle w:val="ListBullet"/>
              <w:numPr>
                <w:ilvl w:val="0"/>
                <w:numId w:val="0"/>
              </w:numPr>
              <w:ind w:left="33"/>
              <w:rPr>
                <w:rFonts w:asciiTheme="majorHAnsi" w:hAnsiTheme="majorHAnsi" w:cstheme="majorHAnsi"/>
                <w:b w:val="0"/>
                <w:bCs/>
                <w:color w:val="auto"/>
                <w:sz w:val="24"/>
                <w:szCs w:val="24"/>
              </w:rPr>
            </w:pPr>
            <w:r w:rsidRPr="00EE3B0A">
              <w:rPr>
                <w:rFonts w:asciiTheme="majorHAnsi" w:hAnsiTheme="majorHAnsi" w:cstheme="majorHAnsi"/>
                <w:b w:val="0"/>
                <w:bCs/>
                <w:color w:val="auto"/>
                <w:sz w:val="24"/>
                <w:szCs w:val="24"/>
              </w:rPr>
              <w:t xml:space="preserve">If the property is to be used for residential purposes by you or your family after the works are completed, you may be eligible to a zero rate of VAT. This concession is included within the scheme for conversions by DIY house builders, and the detailed requirements and eligibility can be found in </w:t>
            </w:r>
            <w:hyperlink r:id="rId8" w:history="1">
              <w:r w:rsidRPr="008548A3">
                <w:rPr>
                  <w:rStyle w:val="Hyperlink"/>
                  <w:rFonts w:asciiTheme="majorHAnsi" w:hAnsiTheme="majorHAnsi" w:cstheme="majorHAnsi"/>
                  <w:color w:val="2E74B5" w:themeColor="accent5" w:themeShade="BF"/>
                  <w:sz w:val="24"/>
                  <w:szCs w:val="24"/>
                </w:rPr>
                <w:t xml:space="preserve">HMRC </w:t>
              </w:r>
              <w:r w:rsidRPr="008548A3">
                <w:rPr>
                  <w:rStyle w:val="Hyperlink"/>
                  <w:rFonts w:asciiTheme="majorHAnsi" w:hAnsiTheme="majorHAnsi" w:cstheme="majorHAnsi"/>
                  <w:color w:val="2E74B5" w:themeColor="accent5" w:themeShade="BF"/>
                  <w:sz w:val="24"/>
                  <w:szCs w:val="24"/>
                </w:rPr>
                <w:t>N</w:t>
              </w:r>
              <w:r w:rsidRPr="008548A3">
                <w:rPr>
                  <w:rStyle w:val="Hyperlink"/>
                  <w:rFonts w:asciiTheme="majorHAnsi" w:hAnsiTheme="majorHAnsi" w:cstheme="majorHAnsi"/>
                  <w:color w:val="2E74B5" w:themeColor="accent5" w:themeShade="BF"/>
                  <w:sz w:val="24"/>
                  <w:szCs w:val="24"/>
                </w:rPr>
                <w:t>otice 431C</w:t>
              </w:r>
            </w:hyperlink>
            <w:r w:rsidRPr="008548A3">
              <w:rPr>
                <w:rFonts w:asciiTheme="majorHAnsi" w:hAnsiTheme="majorHAnsi" w:cstheme="majorHAnsi"/>
                <w:color w:val="2E74B5" w:themeColor="accent5" w:themeShade="BF"/>
                <w:sz w:val="24"/>
                <w:szCs w:val="24"/>
              </w:rPr>
              <w:t xml:space="preserve"> </w:t>
            </w:r>
          </w:p>
          <w:p w14:paraId="2ABA9715" w14:textId="42FDFA7D" w:rsidR="00860905" w:rsidRPr="00860905" w:rsidRDefault="00EE3B0A" w:rsidP="00EE3B0A">
            <w:pPr>
              <w:pStyle w:val="ListBullet"/>
              <w:numPr>
                <w:ilvl w:val="0"/>
                <w:numId w:val="0"/>
              </w:numPr>
              <w:ind w:left="33" w:hanging="33"/>
              <w:rPr>
                <w:rFonts w:asciiTheme="majorHAnsi" w:hAnsiTheme="majorHAnsi" w:cstheme="majorHAnsi"/>
                <w:b w:val="0"/>
                <w:bCs/>
                <w:sz w:val="24"/>
                <w:szCs w:val="24"/>
              </w:rPr>
            </w:pPr>
            <w:r w:rsidRPr="00EE3B0A">
              <w:rPr>
                <w:rFonts w:asciiTheme="majorHAnsi" w:hAnsiTheme="majorHAnsi" w:cstheme="majorHAnsi"/>
                <w:b w:val="0"/>
                <w:bCs/>
                <w:color w:val="auto"/>
                <w:sz w:val="24"/>
                <w:szCs w:val="24"/>
              </w:rPr>
              <w:t>To be eligible for the above schemes it will be necessary to provide proof that the building has been unoccupied for the required period. A letter from your local empty property officer or council tax records would usually be sufficient evidence for that purpos</w:t>
            </w:r>
            <w:r w:rsidRPr="00EE3B0A">
              <w:rPr>
                <w:rFonts w:asciiTheme="majorHAnsi" w:hAnsiTheme="majorHAnsi" w:cstheme="majorHAnsi"/>
                <w:b w:val="0"/>
                <w:bCs/>
                <w:color w:val="auto"/>
                <w:sz w:val="24"/>
                <w:szCs w:val="24"/>
              </w:rPr>
              <w:t>e.</w:t>
            </w:r>
          </w:p>
        </w:tc>
      </w:tr>
      <w:tr w:rsidR="00EE3B0A" w14:paraId="34C70A66" w14:textId="77777777" w:rsidTr="00EE3B0A">
        <w:trPr>
          <w:trHeight w:val="487"/>
        </w:trPr>
        <w:tc>
          <w:tcPr>
            <w:tcW w:w="11612" w:type="dxa"/>
            <w:tcBorders>
              <w:top w:val="nil"/>
              <w:left w:val="nil"/>
              <w:bottom w:val="nil"/>
              <w:right w:val="nil"/>
            </w:tcBorders>
          </w:tcPr>
          <w:p w14:paraId="442AB0A2" w14:textId="6635C8EF" w:rsidR="00EE3B0A" w:rsidRPr="00EE3B0A" w:rsidRDefault="00EE3B0A" w:rsidP="00EE3B0A">
            <w:pPr>
              <w:pStyle w:val="ListBullet"/>
              <w:numPr>
                <w:ilvl w:val="0"/>
                <w:numId w:val="0"/>
              </w:numPr>
              <w:ind w:left="33"/>
              <w:rPr>
                <w:rFonts w:asciiTheme="majorHAnsi" w:hAnsiTheme="majorHAnsi" w:cstheme="majorHAnsi"/>
                <w:sz w:val="24"/>
                <w:szCs w:val="24"/>
                <w:u w:val="single"/>
              </w:rPr>
            </w:pPr>
            <w:r w:rsidRPr="00EE3B0A">
              <w:rPr>
                <w:rFonts w:asciiTheme="majorHAnsi" w:hAnsiTheme="majorHAnsi" w:cstheme="majorHAnsi"/>
                <w:sz w:val="24"/>
                <w:szCs w:val="24"/>
                <w:u w:val="single"/>
              </w:rPr>
              <w:t>V</w:t>
            </w:r>
            <w:r w:rsidRPr="00EE3B0A">
              <w:rPr>
                <w:rFonts w:asciiTheme="majorHAnsi" w:hAnsiTheme="majorHAnsi" w:cstheme="majorHAnsi"/>
                <w:sz w:val="24"/>
                <w:szCs w:val="24"/>
                <w:u w:val="single"/>
              </w:rPr>
              <w:t>AT</w:t>
            </w:r>
            <w:r w:rsidRPr="00EE3B0A">
              <w:rPr>
                <w:rFonts w:asciiTheme="majorHAnsi" w:hAnsiTheme="majorHAnsi" w:cstheme="majorHAnsi"/>
                <w:sz w:val="24"/>
                <w:szCs w:val="24"/>
                <w:u w:val="single"/>
              </w:rPr>
              <w:t xml:space="preserve"> ‐ Converting a non‐residential building into a dwelling</w:t>
            </w:r>
          </w:p>
        </w:tc>
      </w:tr>
      <w:tr w:rsidR="00EE3B0A" w14:paraId="38BBD1AD" w14:textId="77777777" w:rsidTr="008548A3">
        <w:trPr>
          <w:trHeight w:val="487"/>
        </w:trPr>
        <w:tc>
          <w:tcPr>
            <w:tcW w:w="11612" w:type="dxa"/>
            <w:tcBorders>
              <w:top w:val="nil"/>
              <w:left w:val="nil"/>
              <w:bottom w:val="nil"/>
              <w:right w:val="nil"/>
            </w:tcBorders>
          </w:tcPr>
          <w:p w14:paraId="629C7291" w14:textId="6BEFE18F" w:rsidR="00EE3B0A" w:rsidRPr="008548A3" w:rsidRDefault="00EE3B0A" w:rsidP="00EE3B0A">
            <w:pPr>
              <w:pStyle w:val="ListBullet"/>
              <w:ind w:left="33"/>
              <w:rPr>
                <w:rFonts w:asciiTheme="majorHAnsi" w:hAnsiTheme="majorHAnsi" w:cstheme="majorHAnsi"/>
                <w:b w:val="0"/>
                <w:bCs/>
                <w:color w:val="auto"/>
                <w:sz w:val="24"/>
                <w:szCs w:val="24"/>
              </w:rPr>
            </w:pPr>
            <w:r w:rsidRPr="00EE3B0A">
              <w:rPr>
                <w:rFonts w:asciiTheme="majorHAnsi" w:hAnsiTheme="majorHAnsi" w:cstheme="majorHAnsi"/>
                <w:b w:val="0"/>
                <w:bCs/>
                <w:color w:val="auto"/>
                <w:sz w:val="24"/>
                <w:szCs w:val="24"/>
              </w:rPr>
              <w:t>The rules for first‐time conversions of non‐residential buildings are the same as for dwellings that have been empty</w:t>
            </w:r>
            <w:r w:rsidRPr="00EE3B0A">
              <w:rPr>
                <w:color w:val="auto"/>
              </w:rPr>
              <w:t xml:space="preserve"> </w:t>
            </w:r>
            <w:r w:rsidRPr="00EE3B0A">
              <w:rPr>
                <w:rFonts w:asciiTheme="majorHAnsi" w:hAnsiTheme="majorHAnsi" w:cstheme="majorHAnsi"/>
                <w:b w:val="0"/>
                <w:bCs/>
                <w:color w:val="auto"/>
                <w:sz w:val="24"/>
                <w:szCs w:val="24"/>
              </w:rPr>
              <w:t xml:space="preserve">for ten years or more. This applies to barn conversions, church conversions, school conversions, warehouse conversions etc. </w:t>
            </w:r>
            <w:hyperlink r:id="rId9" w:history="1">
              <w:r w:rsidRPr="008548A3">
                <w:rPr>
                  <w:rStyle w:val="Hyperlink"/>
                  <w:rFonts w:asciiTheme="majorHAnsi" w:hAnsiTheme="majorHAnsi" w:cstheme="majorHAnsi"/>
                  <w:color w:val="2E74B5" w:themeColor="accent5" w:themeShade="BF"/>
                  <w:sz w:val="24"/>
                  <w:szCs w:val="24"/>
                </w:rPr>
                <w:t xml:space="preserve">HMRC </w:t>
              </w:r>
              <w:r w:rsidRPr="008548A3">
                <w:rPr>
                  <w:rStyle w:val="Hyperlink"/>
                  <w:rFonts w:asciiTheme="majorHAnsi" w:hAnsiTheme="majorHAnsi" w:cstheme="majorHAnsi"/>
                  <w:color w:val="2E74B5" w:themeColor="accent5" w:themeShade="BF"/>
                  <w:sz w:val="24"/>
                  <w:szCs w:val="24"/>
                </w:rPr>
                <w:t>N</w:t>
              </w:r>
              <w:r w:rsidRPr="008548A3">
                <w:rPr>
                  <w:rStyle w:val="Hyperlink"/>
                  <w:rFonts w:asciiTheme="majorHAnsi" w:hAnsiTheme="majorHAnsi" w:cstheme="majorHAnsi"/>
                  <w:color w:val="2E74B5" w:themeColor="accent5" w:themeShade="BF"/>
                  <w:sz w:val="24"/>
                  <w:szCs w:val="24"/>
                </w:rPr>
                <w:t>otice 708</w:t>
              </w:r>
            </w:hyperlink>
          </w:p>
          <w:p w14:paraId="280A9326" w14:textId="0BC012C3" w:rsidR="008548A3" w:rsidRPr="00EE3B0A" w:rsidRDefault="008548A3" w:rsidP="00EE3B0A">
            <w:pPr>
              <w:pStyle w:val="ListBullet"/>
              <w:ind w:left="33"/>
              <w:rPr>
                <w:rFonts w:asciiTheme="majorHAnsi" w:hAnsiTheme="majorHAnsi" w:cstheme="majorHAnsi"/>
                <w:b w:val="0"/>
                <w:bCs/>
                <w:color w:val="auto"/>
                <w:sz w:val="24"/>
                <w:szCs w:val="24"/>
              </w:rPr>
            </w:pPr>
          </w:p>
        </w:tc>
      </w:tr>
      <w:tr w:rsidR="00EE3B0A" w14:paraId="3F95B566" w14:textId="77777777" w:rsidTr="008548A3">
        <w:trPr>
          <w:trHeight w:val="564"/>
        </w:trPr>
        <w:tc>
          <w:tcPr>
            <w:tcW w:w="11612" w:type="dxa"/>
            <w:tcBorders>
              <w:top w:val="nil"/>
              <w:left w:val="nil"/>
              <w:bottom w:val="nil"/>
              <w:right w:val="nil"/>
            </w:tcBorders>
          </w:tcPr>
          <w:p w14:paraId="5A1054E5" w14:textId="7ADC6C23" w:rsidR="00EE3B0A" w:rsidRPr="00EE3B0A" w:rsidRDefault="00EE3B0A" w:rsidP="00EE3B0A">
            <w:pPr>
              <w:pStyle w:val="ListBullet"/>
              <w:numPr>
                <w:ilvl w:val="0"/>
                <w:numId w:val="0"/>
              </w:numPr>
              <w:ind w:left="432" w:hanging="288"/>
              <w:rPr>
                <w:rFonts w:asciiTheme="majorHAnsi" w:hAnsiTheme="majorHAnsi" w:cstheme="majorHAnsi"/>
                <w:bCs/>
                <w:color w:val="2F5496" w:themeColor="accent1" w:themeShade="BF"/>
                <w:sz w:val="24"/>
                <w:szCs w:val="24"/>
                <w:u w:val="single"/>
              </w:rPr>
            </w:pPr>
            <w:r w:rsidRPr="00EE3B0A">
              <w:rPr>
                <w:rFonts w:asciiTheme="majorHAnsi" w:hAnsiTheme="majorHAnsi" w:cstheme="majorHAnsi"/>
                <w:bCs/>
                <w:color w:val="2F5496" w:themeColor="accent1" w:themeShade="BF"/>
                <w:sz w:val="24"/>
                <w:szCs w:val="24"/>
                <w:u w:val="single"/>
              </w:rPr>
              <w:lastRenderedPageBreak/>
              <w:t>Change in the number of dwelling units</w:t>
            </w:r>
          </w:p>
        </w:tc>
      </w:tr>
      <w:tr w:rsidR="00EE3B0A" w14:paraId="71D72332" w14:textId="77777777" w:rsidTr="008548A3">
        <w:trPr>
          <w:trHeight w:val="487"/>
        </w:trPr>
        <w:tc>
          <w:tcPr>
            <w:tcW w:w="11612" w:type="dxa"/>
            <w:tcBorders>
              <w:top w:val="nil"/>
              <w:left w:val="nil"/>
              <w:bottom w:val="nil"/>
              <w:right w:val="nil"/>
            </w:tcBorders>
          </w:tcPr>
          <w:p w14:paraId="137C216D" w14:textId="563152F4" w:rsidR="00EE3B0A" w:rsidRPr="00EE3B0A" w:rsidRDefault="00EE3B0A" w:rsidP="00EE3B0A">
            <w:pPr>
              <w:pStyle w:val="ListBullet"/>
              <w:numPr>
                <w:ilvl w:val="0"/>
                <w:numId w:val="0"/>
              </w:numPr>
              <w:ind w:left="175" w:hanging="31"/>
              <w:rPr>
                <w:rFonts w:asciiTheme="majorHAnsi" w:hAnsiTheme="majorHAnsi" w:cstheme="majorHAnsi"/>
                <w:b w:val="0"/>
                <w:bCs/>
                <w:color w:val="auto"/>
                <w:sz w:val="24"/>
                <w:szCs w:val="24"/>
              </w:rPr>
            </w:pPr>
            <w:r w:rsidRPr="00EE3B0A">
              <w:rPr>
                <w:rFonts w:asciiTheme="majorHAnsi" w:hAnsiTheme="majorHAnsi" w:cstheme="majorHAnsi"/>
                <w:b w:val="0"/>
                <w:bCs/>
                <w:color w:val="auto"/>
                <w:sz w:val="24"/>
                <w:szCs w:val="24"/>
              </w:rPr>
              <w:t>Where renovation work to a building in residential use results in a change in the number of dwelling units – for</w:t>
            </w:r>
            <w:r w:rsidRPr="00EE3B0A">
              <w:rPr>
                <w:color w:val="auto"/>
              </w:rPr>
              <w:t xml:space="preserve"> </w:t>
            </w:r>
            <w:r w:rsidRPr="00EE3B0A">
              <w:rPr>
                <w:rFonts w:asciiTheme="majorHAnsi" w:hAnsiTheme="majorHAnsi" w:cstheme="majorHAnsi"/>
                <w:b w:val="0"/>
                <w:bCs/>
                <w:color w:val="auto"/>
                <w:sz w:val="24"/>
                <w:szCs w:val="24"/>
              </w:rPr>
              <w:t>instance, dividing a house into flats, or knocking two small cottages or a number of flats into a single dwelling – the work involved is eligible for the reduced rate of VAT of 5%.</w:t>
            </w:r>
          </w:p>
          <w:p w14:paraId="05D5B03F" w14:textId="0460E90D" w:rsidR="00EE3B0A" w:rsidRPr="00EE3B0A" w:rsidRDefault="00EE3B0A" w:rsidP="00EE3B0A">
            <w:pPr>
              <w:pStyle w:val="ListBullet"/>
              <w:numPr>
                <w:ilvl w:val="0"/>
                <w:numId w:val="0"/>
              </w:numPr>
              <w:ind w:left="144"/>
              <w:rPr>
                <w:rFonts w:asciiTheme="majorHAnsi" w:hAnsiTheme="majorHAnsi" w:cstheme="majorHAnsi"/>
                <w:b w:val="0"/>
                <w:bCs/>
                <w:sz w:val="24"/>
                <w:szCs w:val="24"/>
              </w:rPr>
            </w:pPr>
            <w:r w:rsidRPr="00EE3B0A">
              <w:rPr>
                <w:rFonts w:asciiTheme="majorHAnsi" w:hAnsiTheme="majorHAnsi" w:cstheme="majorHAnsi"/>
                <w:b w:val="0"/>
                <w:bCs/>
                <w:color w:val="auto"/>
                <w:sz w:val="24"/>
                <w:szCs w:val="24"/>
              </w:rPr>
              <w:t xml:space="preserve">As with a dwelling empty for two years or more, there is no equivalent reduced VAT rate for DIY work </w:t>
            </w:r>
            <w:hyperlink r:id="rId10" w:history="1">
              <w:r w:rsidRPr="008548A3">
                <w:rPr>
                  <w:rStyle w:val="Hyperlink"/>
                  <w:rFonts w:asciiTheme="majorHAnsi" w:hAnsiTheme="majorHAnsi" w:cstheme="majorHAnsi"/>
                  <w:color w:val="2E74B5" w:themeColor="accent5" w:themeShade="BF"/>
                  <w:sz w:val="24"/>
                  <w:szCs w:val="24"/>
                </w:rPr>
                <w:t xml:space="preserve">HMRC </w:t>
              </w:r>
              <w:r w:rsidRPr="008548A3">
                <w:rPr>
                  <w:rStyle w:val="Hyperlink"/>
                  <w:rFonts w:asciiTheme="majorHAnsi" w:hAnsiTheme="majorHAnsi" w:cstheme="majorHAnsi"/>
                  <w:color w:val="2E74B5" w:themeColor="accent5" w:themeShade="BF"/>
                  <w:sz w:val="24"/>
                  <w:szCs w:val="24"/>
                </w:rPr>
                <w:t>N</w:t>
              </w:r>
              <w:r w:rsidRPr="008548A3">
                <w:rPr>
                  <w:rStyle w:val="Hyperlink"/>
                  <w:rFonts w:asciiTheme="majorHAnsi" w:hAnsiTheme="majorHAnsi" w:cstheme="majorHAnsi"/>
                  <w:color w:val="2E74B5" w:themeColor="accent5" w:themeShade="BF"/>
                  <w:sz w:val="24"/>
                  <w:szCs w:val="24"/>
                </w:rPr>
                <w:t>otice 708</w:t>
              </w:r>
            </w:hyperlink>
          </w:p>
        </w:tc>
      </w:tr>
      <w:tr w:rsidR="00EE3B0A" w14:paraId="30C219A0" w14:textId="77777777" w:rsidTr="008548A3">
        <w:trPr>
          <w:trHeight w:val="487"/>
        </w:trPr>
        <w:tc>
          <w:tcPr>
            <w:tcW w:w="11612" w:type="dxa"/>
            <w:tcBorders>
              <w:top w:val="nil"/>
              <w:left w:val="nil"/>
              <w:bottom w:val="nil"/>
              <w:right w:val="nil"/>
            </w:tcBorders>
          </w:tcPr>
          <w:p w14:paraId="4AD0365B" w14:textId="38F47F12" w:rsidR="00EE3B0A" w:rsidRPr="008548A3" w:rsidRDefault="008548A3" w:rsidP="008548A3">
            <w:pPr>
              <w:pStyle w:val="ListBullet"/>
              <w:numPr>
                <w:ilvl w:val="0"/>
                <w:numId w:val="0"/>
              </w:numPr>
              <w:ind w:left="432" w:hanging="288"/>
              <w:rPr>
                <w:rFonts w:asciiTheme="majorHAnsi" w:hAnsiTheme="majorHAnsi" w:cstheme="majorHAnsi"/>
                <w:sz w:val="24"/>
                <w:szCs w:val="24"/>
                <w:u w:val="single"/>
              </w:rPr>
            </w:pPr>
            <w:r w:rsidRPr="008548A3">
              <w:rPr>
                <w:rFonts w:asciiTheme="majorHAnsi" w:hAnsiTheme="majorHAnsi" w:cstheme="majorHAnsi"/>
                <w:sz w:val="24"/>
                <w:szCs w:val="24"/>
                <w:u w:val="single"/>
              </w:rPr>
              <w:t>New dwellings</w:t>
            </w:r>
          </w:p>
        </w:tc>
      </w:tr>
      <w:tr w:rsidR="00EE3B0A" w14:paraId="2A7C1EA6" w14:textId="77777777" w:rsidTr="008548A3">
        <w:trPr>
          <w:trHeight w:val="487"/>
        </w:trPr>
        <w:tc>
          <w:tcPr>
            <w:tcW w:w="11612" w:type="dxa"/>
            <w:tcBorders>
              <w:top w:val="nil"/>
              <w:left w:val="nil"/>
              <w:bottom w:val="nil"/>
              <w:right w:val="nil"/>
            </w:tcBorders>
          </w:tcPr>
          <w:p w14:paraId="29047152" w14:textId="79699052" w:rsidR="00EE3B0A" w:rsidRPr="00EE3B0A" w:rsidRDefault="008548A3" w:rsidP="008548A3">
            <w:pPr>
              <w:pStyle w:val="ListBullet"/>
              <w:numPr>
                <w:ilvl w:val="0"/>
                <w:numId w:val="0"/>
              </w:numPr>
              <w:ind w:left="175"/>
              <w:rPr>
                <w:rFonts w:asciiTheme="majorHAnsi" w:hAnsiTheme="majorHAnsi" w:cstheme="majorHAnsi"/>
                <w:b w:val="0"/>
                <w:bCs/>
                <w:sz w:val="24"/>
                <w:szCs w:val="24"/>
              </w:rPr>
            </w:pPr>
            <w:r w:rsidRPr="008548A3">
              <w:rPr>
                <w:rFonts w:asciiTheme="majorHAnsi" w:hAnsiTheme="majorHAnsi" w:cstheme="majorHAnsi"/>
                <w:b w:val="0"/>
                <w:bCs/>
                <w:color w:val="auto"/>
                <w:sz w:val="24"/>
                <w:szCs w:val="24"/>
              </w:rPr>
              <w:t>The supply of new dwellings is zero rated for VAT and so the supply of eligible labour and materials involved in the</w:t>
            </w:r>
            <w:r w:rsidRPr="008548A3">
              <w:rPr>
                <w:color w:val="auto"/>
              </w:rPr>
              <w:t xml:space="preserve"> </w:t>
            </w:r>
            <w:r w:rsidRPr="008548A3">
              <w:rPr>
                <w:rFonts w:asciiTheme="majorHAnsi" w:hAnsiTheme="majorHAnsi" w:cstheme="majorHAnsi"/>
                <w:b w:val="0"/>
                <w:bCs/>
                <w:color w:val="auto"/>
                <w:sz w:val="24"/>
                <w:szCs w:val="24"/>
              </w:rPr>
              <w:t xml:space="preserve">construction of a new dwelling can be zero rated </w:t>
            </w:r>
            <w:hyperlink r:id="rId11" w:history="1">
              <w:r w:rsidRPr="008548A3">
                <w:rPr>
                  <w:rStyle w:val="Hyperlink"/>
                  <w:rFonts w:asciiTheme="majorHAnsi" w:hAnsiTheme="majorHAnsi" w:cstheme="majorHAnsi"/>
                  <w:color w:val="2E74B5" w:themeColor="accent5" w:themeShade="BF"/>
                  <w:sz w:val="24"/>
                  <w:szCs w:val="24"/>
                </w:rPr>
                <w:t xml:space="preserve">HMRC </w:t>
              </w:r>
              <w:r w:rsidRPr="008548A3">
                <w:rPr>
                  <w:rStyle w:val="Hyperlink"/>
                  <w:rFonts w:asciiTheme="majorHAnsi" w:hAnsiTheme="majorHAnsi" w:cstheme="majorHAnsi"/>
                  <w:color w:val="2E74B5" w:themeColor="accent5" w:themeShade="BF"/>
                  <w:sz w:val="24"/>
                  <w:szCs w:val="24"/>
                </w:rPr>
                <w:t>N</w:t>
              </w:r>
              <w:r w:rsidRPr="008548A3">
                <w:rPr>
                  <w:rStyle w:val="Hyperlink"/>
                  <w:rFonts w:asciiTheme="majorHAnsi" w:hAnsiTheme="majorHAnsi" w:cstheme="majorHAnsi"/>
                  <w:color w:val="2E74B5" w:themeColor="accent5" w:themeShade="BF"/>
                  <w:sz w:val="24"/>
                  <w:szCs w:val="24"/>
                </w:rPr>
                <w:t>otice 708</w:t>
              </w:r>
              <w:r w:rsidRPr="008548A3">
                <w:rPr>
                  <w:rStyle w:val="Hyperlink"/>
                  <w:rFonts w:asciiTheme="majorHAnsi" w:hAnsiTheme="majorHAnsi" w:cstheme="majorHAnsi"/>
                  <w:b w:val="0"/>
                  <w:bCs/>
                  <w:color w:val="2E74B5" w:themeColor="accent5" w:themeShade="BF"/>
                  <w:sz w:val="24"/>
                  <w:szCs w:val="24"/>
                </w:rPr>
                <w:t>.</w:t>
              </w:r>
            </w:hyperlink>
            <w:r w:rsidRPr="008548A3">
              <w:rPr>
                <w:rFonts w:asciiTheme="majorHAnsi" w:hAnsiTheme="majorHAnsi" w:cstheme="majorHAnsi"/>
                <w:b w:val="0"/>
                <w:bCs/>
                <w:color w:val="auto"/>
                <w:sz w:val="24"/>
                <w:szCs w:val="24"/>
              </w:rPr>
              <w:t xml:space="preserve"> If you are not VAT registered (</w:t>
            </w:r>
            <w:r w:rsidRPr="008548A3">
              <w:rPr>
                <w:rFonts w:asciiTheme="majorHAnsi" w:hAnsiTheme="majorHAnsi" w:cstheme="majorHAnsi"/>
                <w:b w:val="0"/>
                <w:bCs/>
                <w:color w:val="auto"/>
                <w:sz w:val="24"/>
                <w:szCs w:val="24"/>
              </w:rPr>
              <w:t>self-build</w:t>
            </w:r>
            <w:r w:rsidRPr="008548A3">
              <w:rPr>
                <w:rFonts w:asciiTheme="majorHAnsi" w:hAnsiTheme="majorHAnsi" w:cstheme="majorHAnsi"/>
                <w:b w:val="0"/>
                <w:bCs/>
                <w:color w:val="auto"/>
                <w:sz w:val="24"/>
                <w:szCs w:val="24"/>
              </w:rPr>
              <w:t>) you</w:t>
            </w:r>
            <w:r w:rsidRPr="008548A3">
              <w:rPr>
                <w:rFonts w:asciiTheme="majorHAnsi" w:hAnsiTheme="majorHAnsi" w:cstheme="majorHAnsi"/>
                <w:b w:val="0"/>
                <w:bCs/>
                <w:color w:val="auto"/>
                <w:sz w:val="24"/>
                <w:szCs w:val="24"/>
              </w:rPr>
              <w:t xml:space="preserve"> </w:t>
            </w:r>
            <w:r w:rsidRPr="008548A3">
              <w:rPr>
                <w:rFonts w:asciiTheme="majorHAnsi" w:hAnsiTheme="majorHAnsi" w:cstheme="majorHAnsi"/>
                <w:b w:val="0"/>
                <w:bCs/>
                <w:color w:val="auto"/>
                <w:sz w:val="24"/>
                <w:szCs w:val="24"/>
              </w:rPr>
              <w:t xml:space="preserve">can make a one‐off claim for the refund of VAT on eligible materials using </w:t>
            </w:r>
            <w:hyperlink r:id="rId12" w:history="1">
              <w:r w:rsidRPr="008548A3">
                <w:rPr>
                  <w:rStyle w:val="Hyperlink"/>
                  <w:rFonts w:asciiTheme="majorHAnsi" w:hAnsiTheme="majorHAnsi" w:cstheme="majorHAnsi"/>
                  <w:color w:val="2E74B5" w:themeColor="accent5" w:themeShade="BF"/>
                  <w:sz w:val="24"/>
                  <w:szCs w:val="24"/>
                </w:rPr>
                <w:t xml:space="preserve">HMRC </w:t>
              </w:r>
              <w:r w:rsidRPr="008548A3">
                <w:rPr>
                  <w:rStyle w:val="Hyperlink"/>
                  <w:rFonts w:asciiTheme="majorHAnsi" w:hAnsiTheme="majorHAnsi" w:cstheme="majorHAnsi"/>
                  <w:color w:val="2E74B5" w:themeColor="accent5" w:themeShade="BF"/>
                  <w:sz w:val="24"/>
                  <w:szCs w:val="24"/>
                </w:rPr>
                <w:t>N</w:t>
              </w:r>
              <w:r w:rsidRPr="008548A3">
                <w:rPr>
                  <w:rStyle w:val="Hyperlink"/>
                  <w:rFonts w:asciiTheme="majorHAnsi" w:hAnsiTheme="majorHAnsi" w:cstheme="majorHAnsi"/>
                  <w:color w:val="2E74B5" w:themeColor="accent5" w:themeShade="BF"/>
                  <w:sz w:val="24"/>
                  <w:szCs w:val="24"/>
                </w:rPr>
                <w:t>otice 431C</w:t>
              </w:r>
            </w:hyperlink>
          </w:p>
        </w:tc>
      </w:tr>
      <w:tr w:rsidR="008548A3" w14:paraId="69436F93" w14:textId="77777777" w:rsidTr="008548A3">
        <w:trPr>
          <w:trHeight w:val="487"/>
        </w:trPr>
        <w:tc>
          <w:tcPr>
            <w:tcW w:w="11612" w:type="dxa"/>
            <w:tcBorders>
              <w:top w:val="nil"/>
              <w:left w:val="nil"/>
              <w:bottom w:val="nil"/>
              <w:right w:val="nil"/>
            </w:tcBorders>
          </w:tcPr>
          <w:p w14:paraId="26320DAD" w14:textId="7CBF387E" w:rsidR="008548A3" w:rsidRPr="008548A3" w:rsidRDefault="008548A3" w:rsidP="008548A3">
            <w:pPr>
              <w:pStyle w:val="ListBullet"/>
              <w:numPr>
                <w:ilvl w:val="0"/>
                <w:numId w:val="0"/>
              </w:numPr>
              <w:ind w:left="175"/>
              <w:rPr>
                <w:rFonts w:asciiTheme="majorHAnsi" w:hAnsiTheme="majorHAnsi" w:cstheme="majorHAnsi"/>
                <w:sz w:val="24"/>
                <w:szCs w:val="24"/>
                <w:u w:val="single"/>
              </w:rPr>
            </w:pPr>
            <w:r w:rsidRPr="008548A3">
              <w:rPr>
                <w:rFonts w:asciiTheme="majorHAnsi" w:hAnsiTheme="majorHAnsi" w:cstheme="majorHAnsi"/>
                <w:sz w:val="24"/>
                <w:szCs w:val="24"/>
                <w:u w:val="single"/>
              </w:rPr>
              <w:t>VAT and the installation of certain energy efficiency measures</w:t>
            </w:r>
          </w:p>
        </w:tc>
      </w:tr>
      <w:tr w:rsidR="008548A3" w14:paraId="2A1296DB" w14:textId="77777777" w:rsidTr="008548A3">
        <w:trPr>
          <w:trHeight w:val="487"/>
        </w:trPr>
        <w:tc>
          <w:tcPr>
            <w:tcW w:w="11612" w:type="dxa"/>
            <w:tcBorders>
              <w:top w:val="nil"/>
              <w:left w:val="nil"/>
              <w:bottom w:val="nil"/>
              <w:right w:val="nil"/>
            </w:tcBorders>
          </w:tcPr>
          <w:p w14:paraId="2C201F6F" w14:textId="08029FB1" w:rsidR="008548A3" w:rsidRPr="008548A3" w:rsidRDefault="008548A3" w:rsidP="008548A3">
            <w:pPr>
              <w:pStyle w:val="ListBullet"/>
              <w:numPr>
                <w:ilvl w:val="0"/>
                <w:numId w:val="0"/>
              </w:numPr>
              <w:ind w:left="179"/>
              <w:rPr>
                <w:rFonts w:asciiTheme="majorHAnsi" w:hAnsiTheme="majorHAnsi" w:cstheme="majorHAnsi"/>
                <w:b w:val="0"/>
                <w:bCs/>
                <w:color w:val="auto"/>
                <w:sz w:val="24"/>
                <w:szCs w:val="24"/>
              </w:rPr>
            </w:pPr>
            <w:r w:rsidRPr="008548A3">
              <w:rPr>
                <w:rFonts w:asciiTheme="majorHAnsi" w:hAnsiTheme="majorHAnsi" w:cstheme="majorHAnsi"/>
                <w:b w:val="0"/>
                <w:bCs/>
                <w:color w:val="auto"/>
                <w:sz w:val="24"/>
                <w:szCs w:val="24"/>
              </w:rPr>
              <w:t>In addition, reduced rates of VAT apply to a number of types of building works, such as installing energy saving</w:t>
            </w:r>
            <w:r w:rsidRPr="008548A3">
              <w:rPr>
                <w:rFonts w:asciiTheme="majorHAnsi" w:hAnsiTheme="majorHAnsi" w:cstheme="majorHAnsi"/>
                <w:b w:val="0"/>
                <w:bCs/>
                <w:color w:val="auto"/>
                <w:sz w:val="24"/>
                <w:szCs w:val="24"/>
              </w:rPr>
              <w:t xml:space="preserve"> </w:t>
            </w:r>
            <w:r w:rsidRPr="008548A3">
              <w:rPr>
                <w:rFonts w:asciiTheme="majorHAnsi" w:hAnsiTheme="majorHAnsi" w:cstheme="majorHAnsi"/>
                <w:b w:val="0"/>
                <w:bCs/>
                <w:color w:val="auto"/>
                <w:sz w:val="24"/>
                <w:szCs w:val="24"/>
              </w:rPr>
              <w:t>measures in residential accommodation. The reduced rate applies to installation of:</w:t>
            </w:r>
          </w:p>
          <w:p w14:paraId="4EF9A636" w14:textId="23C27557" w:rsidR="008548A3" w:rsidRPr="008548A3" w:rsidRDefault="008548A3" w:rsidP="008548A3">
            <w:pPr>
              <w:pStyle w:val="ListBullet"/>
              <w:numPr>
                <w:ilvl w:val="0"/>
                <w:numId w:val="15"/>
              </w:numPr>
              <w:rPr>
                <w:rFonts w:asciiTheme="majorHAnsi" w:hAnsiTheme="majorHAnsi" w:cstheme="majorHAnsi"/>
                <w:b w:val="0"/>
                <w:bCs/>
                <w:color w:val="auto"/>
                <w:sz w:val="24"/>
                <w:szCs w:val="24"/>
              </w:rPr>
            </w:pPr>
            <w:r w:rsidRPr="008548A3">
              <w:rPr>
                <w:rFonts w:asciiTheme="majorHAnsi" w:hAnsiTheme="majorHAnsi" w:cstheme="majorHAnsi"/>
                <w:b w:val="0"/>
                <w:bCs/>
                <w:color w:val="auto"/>
                <w:sz w:val="24"/>
                <w:szCs w:val="24"/>
              </w:rPr>
              <w:t>Central heating and hot water system controls, draught stripping, insulation</w:t>
            </w:r>
          </w:p>
          <w:p w14:paraId="5A6A3736" w14:textId="7AAE597D" w:rsidR="008548A3" w:rsidRPr="008548A3" w:rsidRDefault="008548A3" w:rsidP="008548A3">
            <w:pPr>
              <w:pStyle w:val="ListBullet"/>
              <w:numPr>
                <w:ilvl w:val="0"/>
                <w:numId w:val="15"/>
              </w:numPr>
              <w:rPr>
                <w:rFonts w:asciiTheme="majorHAnsi" w:hAnsiTheme="majorHAnsi" w:cstheme="majorHAnsi"/>
                <w:b w:val="0"/>
                <w:bCs/>
                <w:color w:val="auto"/>
                <w:sz w:val="24"/>
                <w:szCs w:val="24"/>
              </w:rPr>
            </w:pPr>
            <w:r w:rsidRPr="008548A3">
              <w:rPr>
                <w:rFonts w:asciiTheme="majorHAnsi" w:hAnsiTheme="majorHAnsi" w:cstheme="majorHAnsi"/>
                <w:b w:val="0"/>
                <w:bCs/>
                <w:color w:val="auto"/>
                <w:sz w:val="24"/>
                <w:szCs w:val="24"/>
              </w:rPr>
              <w:t xml:space="preserve">Solar panels, wind turbines, </w:t>
            </w:r>
            <w:r w:rsidRPr="008548A3">
              <w:rPr>
                <w:rFonts w:asciiTheme="majorHAnsi" w:hAnsiTheme="majorHAnsi" w:cstheme="majorHAnsi"/>
                <w:b w:val="0"/>
                <w:bCs/>
                <w:color w:val="auto"/>
                <w:sz w:val="24"/>
                <w:szCs w:val="24"/>
              </w:rPr>
              <w:t>ground,</w:t>
            </w:r>
            <w:r w:rsidRPr="008548A3">
              <w:rPr>
                <w:rFonts w:asciiTheme="majorHAnsi" w:hAnsiTheme="majorHAnsi" w:cstheme="majorHAnsi"/>
                <w:b w:val="0"/>
                <w:bCs/>
                <w:color w:val="auto"/>
                <w:sz w:val="24"/>
                <w:szCs w:val="24"/>
              </w:rPr>
              <w:t xml:space="preserve"> and air source heat pumps</w:t>
            </w:r>
          </w:p>
          <w:p w14:paraId="37D50B67" w14:textId="29CEB4A0" w:rsidR="008548A3" w:rsidRPr="008548A3" w:rsidRDefault="008548A3" w:rsidP="008548A3">
            <w:pPr>
              <w:pStyle w:val="ListBullet"/>
              <w:numPr>
                <w:ilvl w:val="0"/>
                <w:numId w:val="15"/>
              </w:numPr>
              <w:rPr>
                <w:rFonts w:asciiTheme="majorHAnsi" w:hAnsiTheme="majorHAnsi" w:cstheme="majorHAnsi"/>
                <w:b w:val="0"/>
                <w:bCs/>
                <w:color w:val="auto"/>
                <w:sz w:val="24"/>
                <w:szCs w:val="24"/>
              </w:rPr>
            </w:pPr>
            <w:r w:rsidRPr="008548A3">
              <w:rPr>
                <w:rFonts w:asciiTheme="majorHAnsi" w:hAnsiTheme="majorHAnsi" w:cstheme="majorHAnsi"/>
                <w:b w:val="0"/>
                <w:bCs/>
                <w:color w:val="auto"/>
                <w:sz w:val="24"/>
                <w:szCs w:val="24"/>
              </w:rPr>
              <w:t xml:space="preserve">Micro combined heat and power units; and wood </w:t>
            </w:r>
            <w:r w:rsidRPr="008548A3">
              <w:rPr>
                <w:rFonts w:asciiTheme="majorHAnsi" w:hAnsiTheme="majorHAnsi" w:cstheme="majorHAnsi"/>
                <w:b w:val="0"/>
                <w:bCs/>
                <w:color w:val="auto"/>
                <w:sz w:val="24"/>
                <w:szCs w:val="24"/>
              </w:rPr>
              <w:t>fueled</w:t>
            </w:r>
            <w:r w:rsidRPr="008548A3">
              <w:rPr>
                <w:rFonts w:asciiTheme="majorHAnsi" w:hAnsiTheme="majorHAnsi" w:cstheme="majorHAnsi"/>
                <w:b w:val="0"/>
                <w:bCs/>
                <w:color w:val="auto"/>
                <w:sz w:val="24"/>
                <w:szCs w:val="24"/>
              </w:rPr>
              <w:t xml:space="preserve"> boilers</w:t>
            </w:r>
          </w:p>
          <w:p w14:paraId="7A786A94" w14:textId="15BE3E77" w:rsidR="008548A3" w:rsidRPr="008548A3" w:rsidRDefault="008548A3" w:rsidP="008548A3">
            <w:pPr>
              <w:pStyle w:val="ListBullet"/>
              <w:numPr>
                <w:ilvl w:val="0"/>
                <w:numId w:val="0"/>
              </w:numPr>
              <w:ind w:left="179"/>
              <w:rPr>
                <w:rFonts w:asciiTheme="majorHAnsi" w:hAnsiTheme="majorHAnsi" w:cstheme="majorHAnsi"/>
                <w:b w:val="0"/>
                <w:bCs/>
                <w:color w:val="auto"/>
                <w:sz w:val="24"/>
                <w:szCs w:val="24"/>
              </w:rPr>
            </w:pPr>
            <w:r w:rsidRPr="008548A3">
              <w:rPr>
                <w:rFonts w:asciiTheme="majorHAnsi" w:hAnsiTheme="majorHAnsi" w:cstheme="majorHAnsi"/>
                <w:b w:val="0"/>
                <w:bCs/>
                <w:color w:val="auto"/>
                <w:sz w:val="24"/>
                <w:szCs w:val="24"/>
              </w:rPr>
              <w:t>The following are not eligible in the above scheme: energy efficient boilers, secondary or double glazing, or low</w:t>
            </w:r>
            <w:r w:rsidRPr="008548A3">
              <w:rPr>
                <w:rFonts w:asciiTheme="majorHAnsi" w:hAnsiTheme="majorHAnsi" w:cstheme="majorHAnsi"/>
                <w:b w:val="0"/>
                <w:bCs/>
                <w:color w:val="auto"/>
                <w:sz w:val="24"/>
                <w:szCs w:val="24"/>
              </w:rPr>
              <w:t xml:space="preserve"> </w:t>
            </w:r>
            <w:r w:rsidRPr="008548A3">
              <w:rPr>
                <w:rFonts w:asciiTheme="majorHAnsi" w:hAnsiTheme="majorHAnsi" w:cstheme="majorHAnsi"/>
                <w:b w:val="0"/>
                <w:bCs/>
                <w:color w:val="auto"/>
                <w:sz w:val="24"/>
                <w:szCs w:val="24"/>
              </w:rPr>
              <w:t>emission glass</w:t>
            </w:r>
            <w:r w:rsidRPr="008548A3">
              <w:rPr>
                <w:rFonts w:asciiTheme="majorHAnsi" w:hAnsiTheme="majorHAnsi" w:cstheme="majorHAnsi"/>
                <w:b w:val="0"/>
                <w:bCs/>
                <w:color w:val="auto"/>
                <w:sz w:val="24"/>
                <w:szCs w:val="24"/>
              </w:rPr>
              <w:t>.</w:t>
            </w:r>
          </w:p>
          <w:p w14:paraId="789DA5A1" w14:textId="7C3957A4" w:rsidR="008548A3" w:rsidRPr="008548A3" w:rsidRDefault="008548A3" w:rsidP="008548A3">
            <w:pPr>
              <w:pStyle w:val="ListBullet"/>
              <w:numPr>
                <w:ilvl w:val="0"/>
                <w:numId w:val="0"/>
              </w:numPr>
              <w:ind w:left="179"/>
              <w:rPr>
                <w:rFonts w:asciiTheme="majorHAnsi" w:hAnsiTheme="majorHAnsi" w:cstheme="majorHAnsi"/>
                <w:b w:val="0"/>
                <w:bCs/>
                <w:color w:val="auto"/>
                <w:sz w:val="24"/>
                <w:szCs w:val="24"/>
              </w:rPr>
            </w:pPr>
            <w:r w:rsidRPr="008548A3">
              <w:rPr>
                <w:rFonts w:asciiTheme="majorHAnsi" w:hAnsiTheme="majorHAnsi" w:cstheme="majorHAnsi"/>
                <w:b w:val="0"/>
                <w:bCs/>
                <w:color w:val="auto"/>
                <w:sz w:val="24"/>
                <w:szCs w:val="24"/>
              </w:rPr>
              <w:t>For more information, please contact your local empty property officer or go to</w:t>
            </w:r>
            <w:r w:rsidRPr="008548A3">
              <w:rPr>
                <w:rFonts w:asciiTheme="majorHAnsi" w:hAnsiTheme="majorHAnsi" w:cstheme="majorHAnsi"/>
                <w:color w:val="auto"/>
                <w:sz w:val="24"/>
                <w:szCs w:val="24"/>
              </w:rPr>
              <w:t xml:space="preserve"> </w:t>
            </w:r>
            <w:hyperlink r:id="rId13" w:history="1">
              <w:r w:rsidRPr="008548A3">
                <w:rPr>
                  <w:rStyle w:val="Hyperlink"/>
                  <w:rFonts w:asciiTheme="majorHAnsi" w:hAnsiTheme="majorHAnsi" w:cstheme="majorHAnsi"/>
                  <w:color w:val="2E74B5" w:themeColor="accent5" w:themeShade="BF"/>
                  <w:sz w:val="24"/>
                  <w:szCs w:val="24"/>
                </w:rPr>
                <w:t>www.hmrc.gov.uk</w:t>
              </w:r>
            </w:hyperlink>
            <w:r>
              <w:rPr>
                <w:rFonts w:asciiTheme="majorHAnsi" w:hAnsiTheme="majorHAnsi" w:cstheme="majorHAnsi"/>
                <w:b w:val="0"/>
                <w:bCs/>
                <w:color w:val="auto"/>
                <w:sz w:val="24"/>
                <w:szCs w:val="24"/>
              </w:rPr>
              <w:t xml:space="preserve"> </w:t>
            </w:r>
            <w:r w:rsidRPr="008548A3">
              <w:rPr>
                <w:rFonts w:asciiTheme="majorHAnsi" w:hAnsiTheme="majorHAnsi" w:cstheme="majorHAnsi"/>
                <w:b w:val="0"/>
                <w:bCs/>
                <w:color w:val="auto"/>
                <w:sz w:val="24"/>
                <w:szCs w:val="24"/>
              </w:rPr>
              <w:t>and look for the</w:t>
            </w:r>
            <w:r w:rsidRPr="008548A3">
              <w:rPr>
                <w:color w:val="auto"/>
              </w:rPr>
              <w:t xml:space="preserve"> </w:t>
            </w:r>
            <w:r w:rsidRPr="008548A3">
              <w:rPr>
                <w:rFonts w:asciiTheme="majorHAnsi" w:hAnsiTheme="majorHAnsi" w:cstheme="majorHAnsi"/>
                <w:b w:val="0"/>
                <w:bCs/>
                <w:color w:val="auto"/>
                <w:sz w:val="24"/>
                <w:szCs w:val="24"/>
              </w:rPr>
              <w:t xml:space="preserve">following notices, self‐builders </w:t>
            </w:r>
            <w:hyperlink r:id="rId14" w:history="1">
              <w:r w:rsidRPr="005B6CE2">
                <w:rPr>
                  <w:rStyle w:val="Hyperlink"/>
                  <w:rFonts w:asciiTheme="majorHAnsi" w:hAnsiTheme="majorHAnsi" w:cstheme="majorHAnsi"/>
                  <w:color w:val="2E74B5" w:themeColor="accent5" w:themeShade="BF"/>
                  <w:sz w:val="24"/>
                  <w:szCs w:val="24"/>
                </w:rPr>
                <w:t>VAT431</w:t>
              </w:r>
              <w:r w:rsidR="005B6CE2" w:rsidRPr="005B6CE2">
                <w:rPr>
                  <w:rStyle w:val="Hyperlink"/>
                  <w:rFonts w:asciiTheme="majorHAnsi" w:hAnsiTheme="majorHAnsi" w:cstheme="majorHAnsi"/>
                  <w:color w:val="2E74B5" w:themeColor="accent5" w:themeShade="BF"/>
                  <w:sz w:val="24"/>
                  <w:szCs w:val="24"/>
                </w:rPr>
                <w:t>N</w:t>
              </w:r>
              <w:r w:rsidRPr="005B6CE2">
                <w:rPr>
                  <w:rStyle w:val="Hyperlink"/>
                  <w:rFonts w:asciiTheme="majorHAnsi" w:hAnsiTheme="majorHAnsi" w:cstheme="majorHAnsi"/>
                  <w:color w:val="2E74B5" w:themeColor="accent5" w:themeShade="BF"/>
                  <w:sz w:val="24"/>
                  <w:szCs w:val="24"/>
                </w:rPr>
                <w:t>B</w:t>
              </w:r>
            </w:hyperlink>
            <w:r w:rsidRPr="008548A3">
              <w:rPr>
                <w:rFonts w:asciiTheme="majorHAnsi" w:hAnsiTheme="majorHAnsi" w:cstheme="majorHAnsi"/>
                <w:b w:val="0"/>
                <w:bCs/>
                <w:color w:val="auto"/>
                <w:sz w:val="24"/>
                <w:szCs w:val="24"/>
              </w:rPr>
              <w:t>; convertors</w:t>
            </w:r>
            <w:r w:rsidRPr="005B6CE2">
              <w:rPr>
                <w:rFonts w:asciiTheme="majorHAnsi" w:hAnsiTheme="majorHAnsi" w:cstheme="majorHAnsi"/>
                <w:color w:val="2E74B5" w:themeColor="accent5" w:themeShade="BF"/>
                <w:sz w:val="24"/>
                <w:szCs w:val="24"/>
              </w:rPr>
              <w:t xml:space="preserve"> </w:t>
            </w:r>
            <w:hyperlink r:id="rId15" w:history="1">
              <w:r w:rsidRPr="005B6CE2">
                <w:rPr>
                  <w:rStyle w:val="Hyperlink"/>
                  <w:rFonts w:asciiTheme="majorHAnsi" w:hAnsiTheme="majorHAnsi" w:cstheme="majorHAnsi"/>
                  <w:color w:val="2E74B5" w:themeColor="accent5" w:themeShade="BF"/>
                  <w:sz w:val="24"/>
                  <w:szCs w:val="24"/>
                </w:rPr>
                <w:t>VAT431C</w:t>
              </w:r>
            </w:hyperlink>
            <w:r w:rsidRPr="008548A3">
              <w:rPr>
                <w:rFonts w:asciiTheme="majorHAnsi" w:hAnsiTheme="majorHAnsi" w:cstheme="majorHAnsi"/>
                <w:b w:val="0"/>
                <w:bCs/>
                <w:color w:val="auto"/>
                <w:sz w:val="24"/>
                <w:szCs w:val="24"/>
              </w:rPr>
              <w:t xml:space="preserve">; renovators of properties empty for two or more </w:t>
            </w:r>
            <w:r w:rsidRPr="008548A3">
              <w:rPr>
                <w:rFonts w:asciiTheme="majorHAnsi" w:hAnsiTheme="majorHAnsi" w:cstheme="majorHAnsi"/>
                <w:b w:val="0"/>
                <w:bCs/>
                <w:color w:val="auto"/>
                <w:sz w:val="24"/>
                <w:szCs w:val="24"/>
              </w:rPr>
              <w:t>years,</w:t>
            </w:r>
            <w:r w:rsidRPr="008548A3">
              <w:rPr>
                <w:rFonts w:asciiTheme="majorHAnsi" w:hAnsiTheme="majorHAnsi" w:cstheme="majorHAnsi"/>
                <w:b w:val="0"/>
                <w:bCs/>
                <w:color w:val="auto"/>
                <w:sz w:val="24"/>
                <w:szCs w:val="24"/>
              </w:rPr>
              <w:t xml:space="preserve"> or energy efficiency works </w:t>
            </w:r>
            <w:hyperlink r:id="rId16" w:history="1">
              <w:r w:rsidRPr="008548A3">
                <w:rPr>
                  <w:rStyle w:val="Hyperlink"/>
                  <w:rFonts w:asciiTheme="majorHAnsi" w:hAnsiTheme="majorHAnsi" w:cstheme="majorHAnsi"/>
                  <w:color w:val="2E74B5" w:themeColor="accent5" w:themeShade="BF"/>
                  <w:sz w:val="24"/>
                  <w:szCs w:val="24"/>
                </w:rPr>
                <w:t>V</w:t>
              </w:r>
              <w:r w:rsidRPr="008548A3">
                <w:rPr>
                  <w:rStyle w:val="Hyperlink"/>
                  <w:rFonts w:asciiTheme="majorHAnsi" w:hAnsiTheme="majorHAnsi" w:cstheme="majorHAnsi"/>
                  <w:color w:val="2E74B5" w:themeColor="accent5" w:themeShade="BF"/>
                  <w:sz w:val="24"/>
                  <w:szCs w:val="24"/>
                </w:rPr>
                <w:t>AT</w:t>
              </w:r>
              <w:r w:rsidRPr="008548A3">
                <w:rPr>
                  <w:rStyle w:val="Hyperlink"/>
                  <w:rFonts w:asciiTheme="majorHAnsi" w:hAnsiTheme="majorHAnsi" w:cstheme="majorHAnsi"/>
                  <w:color w:val="2E74B5" w:themeColor="accent5" w:themeShade="BF"/>
                  <w:sz w:val="24"/>
                  <w:szCs w:val="24"/>
                </w:rPr>
                <w:t xml:space="preserve"> Notice 708</w:t>
              </w:r>
            </w:hyperlink>
            <w:r>
              <w:rPr>
                <w:rFonts w:asciiTheme="majorHAnsi" w:hAnsiTheme="majorHAnsi" w:cstheme="majorHAnsi"/>
                <w:color w:val="2E74B5" w:themeColor="accent5" w:themeShade="BF"/>
                <w:sz w:val="24"/>
                <w:szCs w:val="24"/>
              </w:rPr>
              <w:t>.</w:t>
            </w:r>
          </w:p>
          <w:p w14:paraId="676BB52E" w14:textId="2504F0B1" w:rsidR="008548A3" w:rsidRPr="008548A3" w:rsidRDefault="008548A3" w:rsidP="008548A3">
            <w:pPr>
              <w:pStyle w:val="ListBullet"/>
              <w:numPr>
                <w:ilvl w:val="0"/>
                <w:numId w:val="0"/>
              </w:numPr>
              <w:ind w:left="144"/>
              <w:rPr>
                <w:rFonts w:asciiTheme="majorHAnsi" w:hAnsiTheme="majorHAnsi" w:cstheme="majorHAnsi"/>
                <w:b w:val="0"/>
                <w:bCs/>
                <w:sz w:val="24"/>
                <w:szCs w:val="24"/>
              </w:rPr>
            </w:pPr>
          </w:p>
        </w:tc>
      </w:tr>
    </w:tbl>
    <w:p w14:paraId="2C8D1D9F" w14:textId="77777777" w:rsidR="00860905" w:rsidRDefault="00860905" w:rsidP="00860905">
      <w:pPr>
        <w:jc w:val="center"/>
        <w:rPr>
          <w:rFonts w:asciiTheme="majorHAnsi" w:hAnsiTheme="majorHAnsi" w:cs="Times New Roman (Body CS)"/>
          <w:b/>
          <w:caps/>
          <w:color w:val="FFFFFF" w:themeColor="background1"/>
          <w:spacing w:val="10"/>
          <w:kern w:val="28"/>
          <w:sz w:val="44"/>
          <w:szCs w:val="44"/>
        </w:rPr>
      </w:pPr>
    </w:p>
    <w:p w14:paraId="30FE35CC" w14:textId="77777777" w:rsidR="00860905" w:rsidRDefault="00860905" w:rsidP="00860905">
      <w:pPr>
        <w:jc w:val="center"/>
        <w:rPr>
          <w:rFonts w:asciiTheme="majorHAnsi" w:hAnsiTheme="majorHAnsi" w:cs="Times New Roman (Body CS)"/>
          <w:b/>
          <w:caps/>
          <w:color w:val="FFFFFF" w:themeColor="background1"/>
          <w:spacing w:val="10"/>
          <w:kern w:val="28"/>
          <w:sz w:val="44"/>
          <w:szCs w:val="44"/>
        </w:rPr>
      </w:pPr>
    </w:p>
    <w:p w14:paraId="38648575" w14:textId="3B3E57A8" w:rsidR="001273C1" w:rsidRPr="008C2860" w:rsidRDefault="001273C1" w:rsidP="00860905">
      <w:pPr>
        <w:pStyle w:val="Signature"/>
        <w:ind w:left="-851"/>
      </w:pPr>
    </w:p>
    <w:sectPr w:rsidR="001273C1" w:rsidRPr="008C2860" w:rsidSect="005140CB">
      <w:footerReference w:type="default" r:id="rId17"/>
      <w:pgSz w:w="12240" w:h="15840" w:code="1"/>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5FF7" w14:textId="77777777" w:rsidR="00860905" w:rsidRDefault="00860905">
      <w:pPr>
        <w:spacing w:after="0" w:line="240" w:lineRule="auto"/>
      </w:pPr>
      <w:r>
        <w:separator/>
      </w:r>
    </w:p>
  </w:endnote>
  <w:endnote w:type="continuationSeparator" w:id="0">
    <w:p w14:paraId="5B36EED9" w14:textId="77777777" w:rsidR="00860905" w:rsidRDefault="0086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802A"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BFD8" w14:textId="77777777" w:rsidR="00860905" w:rsidRDefault="00860905">
      <w:pPr>
        <w:spacing w:after="0" w:line="240" w:lineRule="auto"/>
      </w:pPr>
      <w:r>
        <w:separator/>
      </w:r>
    </w:p>
  </w:footnote>
  <w:footnote w:type="continuationSeparator" w:id="0">
    <w:p w14:paraId="7F78CAD3" w14:textId="77777777" w:rsidR="00860905" w:rsidRDefault="0086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C4803"/>
    <w:multiLevelType w:val="hybridMultilevel"/>
    <w:tmpl w:val="9F565702"/>
    <w:lvl w:ilvl="0" w:tplc="0809000B">
      <w:start w:val="1"/>
      <w:numFmt w:val="bullet"/>
      <w:lvlText w:val=""/>
      <w:lvlJc w:val="left"/>
      <w:pPr>
        <w:ind w:left="899" w:hanging="360"/>
      </w:pPr>
      <w:rPr>
        <w:rFonts w:ascii="Wingdings" w:hAnsi="Wingdings"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4EE43F0F"/>
    <w:multiLevelType w:val="hybridMultilevel"/>
    <w:tmpl w:val="E93055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583535680">
    <w:abstractNumId w:val="9"/>
  </w:num>
  <w:num w:numId="2" w16cid:durableId="330572392">
    <w:abstractNumId w:val="12"/>
  </w:num>
  <w:num w:numId="3" w16cid:durableId="86969968">
    <w:abstractNumId w:val="12"/>
    <w:lvlOverride w:ilvl="0">
      <w:startOverride w:val="1"/>
    </w:lvlOverride>
  </w:num>
  <w:num w:numId="4" w16cid:durableId="357244820">
    <w:abstractNumId w:val="7"/>
  </w:num>
  <w:num w:numId="5" w16cid:durableId="306398939">
    <w:abstractNumId w:val="6"/>
  </w:num>
  <w:num w:numId="6" w16cid:durableId="2098361964">
    <w:abstractNumId w:val="5"/>
  </w:num>
  <w:num w:numId="7" w16cid:durableId="1279604591">
    <w:abstractNumId w:val="4"/>
  </w:num>
  <w:num w:numId="8" w16cid:durableId="1022708887">
    <w:abstractNumId w:val="8"/>
  </w:num>
  <w:num w:numId="9" w16cid:durableId="1118260501">
    <w:abstractNumId w:val="3"/>
  </w:num>
  <w:num w:numId="10" w16cid:durableId="1356230258">
    <w:abstractNumId w:val="2"/>
  </w:num>
  <w:num w:numId="11" w16cid:durableId="1749427671">
    <w:abstractNumId w:val="1"/>
  </w:num>
  <w:num w:numId="12" w16cid:durableId="1174026740">
    <w:abstractNumId w:val="0"/>
  </w:num>
  <w:num w:numId="13" w16cid:durableId="1023894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3331168">
    <w:abstractNumId w:val="11"/>
  </w:num>
  <w:num w:numId="15" w16cid:durableId="1789277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05"/>
    <w:rsid w:val="00017EFD"/>
    <w:rsid w:val="000322BF"/>
    <w:rsid w:val="000A562D"/>
    <w:rsid w:val="000B112D"/>
    <w:rsid w:val="000C6A97"/>
    <w:rsid w:val="000E697B"/>
    <w:rsid w:val="00101993"/>
    <w:rsid w:val="00117948"/>
    <w:rsid w:val="001238BC"/>
    <w:rsid w:val="001273C1"/>
    <w:rsid w:val="001825FE"/>
    <w:rsid w:val="001E2472"/>
    <w:rsid w:val="002129B0"/>
    <w:rsid w:val="0028543A"/>
    <w:rsid w:val="00295C0C"/>
    <w:rsid w:val="002A04F7"/>
    <w:rsid w:val="002E52EE"/>
    <w:rsid w:val="003262F3"/>
    <w:rsid w:val="00346FDE"/>
    <w:rsid w:val="00386778"/>
    <w:rsid w:val="003C0DAF"/>
    <w:rsid w:val="003E0898"/>
    <w:rsid w:val="00403116"/>
    <w:rsid w:val="004079F8"/>
    <w:rsid w:val="00410067"/>
    <w:rsid w:val="0046523A"/>
    <w:rsid w:val="004661BE"/>
    <w:rsid w:val="004A4B64"/>
    <w:rsid w:val="004B5850"/>
    <w:rsid w:val="004B6087"/>
    <w:rsid w:val="004E5035"/>
    <w:rsid w:val="004F5C8E"/>
    <w:rsid w:val="005140CB"/>
    <w:rsid w:val="00517215"/>
    <w:rsid w:val="00545041"/>
    <w:rsid w:val="00561521"/>
    <w:rsid w:val="00590B0E"/>
    <w:rsid w:val="005B6CE2"/>
    <w:rsid w:val="005D1F41"/>
    <w:rsid w:val="005E039D"/>
    <w:rsid w:val="006453D3"/>
    <w:rsid w:val="0068698F"/>
    <w:rsid w:val="006C5ECB"/>
    <w:rsid w:val="0071603F"/>
    <w:rsid w:val="00741991"/>
    <w:rsid w:val="0076017A"/>
    <w:rsid w:val="007A6C69"/>
    <w:rsid w:val="007C13B2"/>
    <w:rsid w:val="007C7858"/>
    <w:rsid w:val="00805667"/>
    <w:rsid w:val="008125B2"/>
    <w:rsid w:val="008548A3"/>
    <w:rsid w:val="0085761F"/>
    <w:rsid w:val="00860905"/>
    <w:rsid w:val="0088175F"/>
    <w:rsid w:val="008961F2"/>
    <w:rsid w:val="0089777F"/>
    <w:rsid w:val="008C2860"/>
    <w:rsid w:val="008F0570"/>
    <w:rsid w:val="008F0E66"/>
    <w:rsid w:val="008F4E62"/>
    <w:rsid w:val="00920712"/>
    <w:rsid w:val="00931827"/>
    <w:rsid w:val="0095165A"/>
    <w:rsid w:val="00987BCC"/>
    <w:rsid w:val="009A3E0F"/>
    <w:rsid w:val="009B5D53"/>
    <w:rsid w:val="009B77E5"/>
    <w:rsid w:val="009D403F"/>
    <w:rsid w:val="009E07E5"/>
    <w:rsid w:val="00A010ED"/>
    <w:rsid w:val="00A54BD5"/>
    <w:rsid w:val="00A618AB"/>
    <w:rsid w:val="00A97CC8"/>
    <w:rsid w:val="00AA4E06"/>
    <w:rsid w:val="00AA528E"/>
    <w:rsid w:val="00AB131D"/>
    <w:rsid w:val="00AF452C"/>
    <w:rsid w:val="00B0209E"/>
    <w:rsid w:val="00B13AE2"/>
    <w:rsid w:val="00BC617C"/>
    <w:rsid w:val="00BE3CD6"/>
    <w:rsid w:val="00BF78FF"/>
    <w:rsid w:val="00C023DE"/>
    <w:rsid w:val="00C16778"/>
    <w:rsid w:val="00C27980"/>
    <w:rsid w:val="00C7764C"/>
    <w:rsid w:val="00CC4E29"/>
    <w:rsid w:val="00CC612B"/>
    <w:rsid w:val="00D16EFA"/>
    <w:rsid w:val="00D31D4F"/>
    <w:rsid w:val="00D65CCD"/>
    <w:rsid w:val="00DA7021"/>
    <w:rsid w:val="00DD3056"/>
    <w:rsid w:val="00E0401F"/>
    <w:rsid w:val="00EA06FB"/>
    <w:rsid w:val="00EE3B0A"/>
    <w:rsid w:val="00F23ED1"/>
    <w:rsid w:val="00F42EAE"/>
    <w:rsid w:val="00F46710"/>
    <w:rsid w:val="00F535B0"/>
    <w:rsid w:val="00F7501B"/>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E1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B112D"/>
    <w:rPr>
      <w:sz w:val="20"/>
      <w:szCs w:val="20"/>
    </w:rPr>
  </w:style>
  <w:style w:type="paragraph" w:styleId="Heading1">
    <w:name w:val="heading 1"/>
    <w:basedOn w:val="Normal"/>
    <w:next w:val="Normal"/>
    <w:link w:val="Heading1Char"/>
    <w:uiPriority w:val="9"/>
    <w:qFormat/>
    <w:rsid w:val="000B112D"/>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1354" w:right="-1440" w:firstLine="1354"/>
      <w:outlineLvl w:val="0"/>
    </w:pPr>
    <w:rPr>
      <w:rFonts w:asciiTheme="majorHAnsi" w:hAnsiTheme="majorHAnsi" w:cs="Times New Roman (Body CS)"/>
      <w:b/>
      <w:bCs/>
      <w:caps/>
      <w:color w:val="FFFFFF" w:themeColor="background1"/>
      <w:spacing w:val="15"/>
      <w:sz w:val="22"/>
      <w:szCs w:val="22"/>
    </w:rPr>
  </w:style>
  <w:style w:type="paragraph" w:styleId="Heading2">
    <w:name w:val="heading 2"/>
    <w:basedOn w:val="Normal"/>
    <w:next w:val="Normal"/>
    <w:link w:val="Heading2Char"/>
    <w:uiPriority w:val="9"/>
    <w:qFormat/>
    <w:rsid w:val="000B112D"/>
    <w:pPr>
      <w:keepNext/>
      <w:spacing w:after="0"/>
      <w:outlineLvl w:val="1"/>
    </w:pPr>
    <w:rPr>
      <w:rFonts w:asciiTheme="majorHAnsi" w:hAnsiTheme="majorHAnsi" w:cs="Times New Roman (Body CS)"/>
      <w:color w:val="4472C4" w:themeColor="accent1"/>
      <w:spacing w:val="15"/>
      <w:sz w:val="22"/>
      <w:szCs w:val="22"/>
    </w:rPr>
  </w:style>
  <w:style w:type="paragraph" w:styleId="Heading3">
    <w:name w:val="heading 3"/>
    <w:basedOn w:val="Normal"/>
    <w:next w:val="Normal"/>
    <w:link w:val="Heading3Char"/>
    <w:uiPriority w:val="9"/>
    <w:semiHidden/>
    <w:unhideWhenUsed/>
    <w:qFormat/>
    <w:rsid w:val="004B60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B60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B608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B608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B608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B60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60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12D"/>
    <w:pPr>
      <w:spacing w:before="0"/>
      <w:contextualSpacing/>
    </w:pPr>
    <w:rPr>
      <w:rFonts w:asciiTheme="majorHAnsi" w:hAnsiTheme="majorHAnsi" w:cs="Times New Roman (Body CS)"/>
      <w:b/>
      <w:caps/>
      <w:color w:val="FFFFFF" w:themeColor="background1"/>
      <w:spacing w:val="10"/>
      <w:kern w:val="28"/>
      <w:sz w:val="72"/>
      <w:szCs w:val="52"/>
    </w:rPr>
  </w:style>
  <w:style w:type="character" w:customStyle="1" w:styleId="TitleChar">
    <w:name w:val="Title Char"/>
    <w:basedOn w:val="DefaultParagraphFont"/>
    <w:link w:val="Title"/>
    <w:uiPriority w:val="10"/>
    <w:rsid w:val="000B112D"/>
    <w:rPr>
      <w:rFonts w:asciiTheme="majorHAnsi" w:hAnsiTheme="majorHAnsi" w:cs="Times New Roman (Body CS)"/>
      <w:b/>
      <w:caps/>
      <w:color w:val="FFFFFF" w:themeColor="background1"/>
      <w:spacing w:val="10"/>
      <w:kern w:val="28"/>
      <w:sz w:val="7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112D"/>
    <w:pPr>
      <w:spacing w:after="240" w:line="240" w:lineRule="auto"/>
      <w:jc w:val="center"/>
    </w:pPr>
    <w:rPr>
      <w:rFonts w:asciiTheme="majorHAnsi" w:hAnsiTheme="majorHAnsi"/>
      <w:caps/>
      <w:color w:val="4472C4" w:themeColor="accent1"/>
      <w:spacing w:val="10"/>
      <w:sz w:val="24"/>
      <w:szCs w:val="24"/>
    </w:rPr>
  </w:style>
  <w:style w:type="character" w:customStyle="1" w:styleId="SubtitleChar">
    <w:name w:val="Subtitle Char"/>
    <w:basedOn w:val="DefaultParagraphFont"/>
    <w:link w:val="Subtitle"/>
    <w:uiPriority w:val="11"/>
    <w:rsid w:val="000B112D"/>
    <w:rPr>
      <w:rFonts w:asciiTheme="majorHAnsi" w:hAnsiTheme="majorHAnsi"/>
      <w:caps/>
      <w:color w:val="4472C4" w:themeColor="accent1"/>
      <w:spacing w:val="10"/>
      <w:sz w:val="24"/>
      <w:szCs w:val="24"/>
    </w:rPr>
  </w:style>
  <w:style w:type="character" w:customStyle="1" w:styleId="Heading1Char">
    <w:name w:val="Heading 1 Char"/>
    <w:basedOn w:val="DefaultParagraphFont"/>
    <w:link w:val="Heading1"/>
    <w:uiPriority w:val="9"/>
    <w:rsid w:val="000B112D"/>
    <w:rPr>
      <w:rFonts w:asciiTheme="majorHAnsi" w:hAnsiTheme="majorHAnsi" w:cs="Times New Roman (Body CS)"/>
      <w:b/>
      <w:bCs/>
      <w:caps/>
      <w:color w:val="FFFFFF" w:themeColor="background1"/>
      <w:spacing w:val="15"/>
      <w:shd w:val="clear" w:color="auto" w:fill="4472C4"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410067"/>
    <w:pPr>
      <w:spacing w:after="160" w:line="264" w:lineRule="auto"/>
      <w:ind w:right="576"/>
    </w:pPr>
    <w:rPr>
      <w:i/>
      <w:iCs/>
      <w:color w:val="4472C4" w:themeColor="accent1"/>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basedOn w:val="Normal"/>
    <w:link w:val="NoSpacingChar"/>
    <w:uiPriority w:val="1"/>
    <w:qFormat/>
    <w:rsid w:val="004B6087"/>
    <w:pPr>
      <w:spacing w:before="0" w:after="0" w:line="240" w:lineRule="auto"/>
    </w:pPr>
  </w:style>
  <w:style w:type="character" w:customStyle="1" w:styleId="Heading2Char">
    <w:name w:val="Heading 2 Char"/>
    <w:basedOn w:val="DefaultParagraphFont"/>
    <w:link w:val="Heading2"/>
    <w:uiPriority w:val="9"/>
    <w:rsid w:val="000B112D"/>
    <w:rPr>
      <w:rFonts w:asciiTheme="majorHAnsi" w:hAnsiTheme="majorHAnsi" w:cs="Times New Roman (Body CS)"/>
      <w:color w:val="4472C4" w:themeColor="accent1"/>
      <w:spacing w:val="15"/>
    </w:rPr>
  </w:style>
  <w:style w:type="paragraph" w:styleId="ListBullet">
    <w:name w:val="List Bullet"/>
    <w:basedOn w:val="Normal"/>
    <w:uiPriority w:val="1"/>
    <w:qFormat/>
    <w:rsid w:val="007A6C69"/>
    <w:pPr>
      <w:numPr>
        <w:numId w:val="2"/>
      </w:numPr>
      <w:spacing w:after="60"/>
    </w:pPr>
    <w:rPr>
      <w:b/>
      <w:color w:val="1F4E79" w:themeColor="accent5" w:themeShade="80"/>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12D"/>
    <w:rPr>
      <w:sz w:val="20"/>
      <w:szCs w:val="20"/>
    </w:rPr>
  </w:style>
  <w:style w:type="paragraph" w:styleId="Footer">
    <w:name w:val="footer"/>
    <w:basedOn w:val="Normal"/>
    <w:link w:val="FooterChar"/>
    <w:uiPriority w:val="99"/>
    <w:semiHidden/>
    <w:rsid w:val="002A04F7"/>
    <w:pPr>
      <w:spacing w:after="0" w:line="240" w:lineRule="auto"/>
      <w:ind w:left="-144"/>
      <w:contextualSpacing/>
    </w:pPr>
    <w:rPr>
      <w:rFonts w:asciiTheme="majorHAnsi" w:eastAsiaTheme="majorEastAsia" w:hAnsiTheme="majorHAnsi" w:cstheme="majorBidi"/>
      <w:noProof/>
      <w:color w:val="1F3864" w:themeColor="accent1" w:themeShade="80"/>
    </w:rPr>
  </w:style>
  <w:style w:type="character" w:customStyle="1" w:styleId="FooterChar">
    <w:name w:val="Footer Char"/>
    <w:basedOn w:val="DefaultParagraphFont"/>
    <w:link w:val="Footer"/>
    <w:uiPriority w:val="99"/>
    <w:semiHidden/>
    <w:rsid w:val="000B112D"/>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sid w:val="000B112D"/>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qFormat/>
    <w:pPr>
      <w:spacing w:before="960" w:after="0" w:line="240" w:lineRule="auto"/>
    </w:pPr>
  </w:style>
  <w:style w:type="character" w:customStyle="1" w:styleId="SignatureChar">
    <w:name w:val="Signature Char"/>
    <w:basedOn w:val="DefaultParagraphFont"/>
    <w:link w:val="Signature"/>
    <w:uiPriority w:val="12"/>
    <w:rsid w:val="000B112D"/>
    <w:rPr>
      <w:sz w:val="20"/>
      <w:szCs w:val="20"/>
    </w:rPr>
  </w:style>
  <w:style w:type="character" w:styleId="Strong">
    <w:name w:val="Strong"/>
    <w:uiPriority w:val="22"/>
    <w:qFormat/>
    <w:rsid w:val="004B6087"/>
    <w:rPr>
      <w:b/>
      <w:bCs/>
    </w:rPr>
  </w:style>
  <w:style w:type="character" w:customStyle="1" w:styleId="Heading4Char">
    <w:name w:val="Heading 4 Char"/>
    <w:basedOn w:val="DefaultParagraphFont"/>
    <w:link w:val="Heading4"/>
    <w:uiPriority w:val="9"/>
    <w:semiHidden/>
    <w:rsid w:val="004B6087"/>
    <w:rPr>
      <w:caps/>
      <w:color w:val="2F5496" w:themeColor="accent1" w:themeShade="BF"/>
      <w:spacing w:val="10"/>
    </w:rPr>
  </w:style>
  <w:style w:type="character" w:customStyle="1" w:styleId="Heading5Char">
    <w:name w:val="Heading 5 Char"/>
    <w:basedOn w:val="DefaultParagraphFont"/>
    <w:link w:val="Heading5"/>
    <w:uiPriority w:val="9"/>
    <w:semiHidden/>
    <w:rsid w:val="004B6087"/>
    <w:rPr>
      <w:caps/>
      <w:color w:val="2F5496" w:themeColor="accent1" w:themeShade="BF"/>
      <w:spacing w:val="10"/>
    </w:rPr>
  </w:style>
  <w:style w:type="character" w:customStyle="1" w:styleId="Heading6Char">
    <w:name w:val="Heading 6 Char"/>
    <w:basedOn w:val="DefaultParagraphFont"/>
    <w:link w:val="Heading6"/>
    <w:uiPriority w:val="9"/>
    <w:semiHidden/>
    <w:rsid w:val="004B6087"/>
    <w:rPr>
      <w:caps/>
      <w:color w:val="2F5496" w:themeColor="accent1" w:themeShade="BF"/>
      <w:spacing w:val="10"/>
    </w:rPr>
  </w:style>
  <w:style w:type="character" w:customStyle="1" w:styleId="Heading7Char">
    <w:name w:val="Heading 7 Char"/>
    <w:basedOn w:val="DefaultParagraphFont"/>
    <w:link w:val="Heading7"/>
    <w:uiPriority w:val="9"/>
    <w:semiHidden/>
    <w:rsid w:val="004B6087"/>
    <w:rPr>
      <w:caps/>
      <w:color w:val="2F5496" w:themeColor="accent1" w:themeShade="BF"/>
      <w:spacing w:val="10"/>
    </w:rPr>
  </w:style>
  <w:style w:type="character" w:customStyle="1" w:styleId="Heading8Char">
    <w:name w:val="Heading 8 Char"/>
    <w:basedOn w:val="DefaultParagraphFont"/>
    <w:link w:val="Heading8"/>
    <w:uiPriority w:val="9"/>
    <w:semiHidden/>
    <w:rsid w:val="004B6087"/>
    <w:rPr>
      <w:caps/>
      <w:spacing w:val="10"/>
      <w:sz w:val="18"/>
      <w:szCs w:val="18"/>
    </w:rPr>
  </w:style>
  <w:style w:type="character" w:customStyle="1" w:styleId="Heading9Char">
    <w:name w:val="Heading 9 Char"/>
    <w:basedOn w:val="DefaultParagraphFont"/>
    <w:link w:val="Heading9"/>
    <w:uiPriority w:val="9"/>
    <w:semiHidden/>
    <w:rsid w:val="004B6087"/>
    <w:rPr>
      <w:i/>
      <w:caps/>
      <w:spacing w:val="10"/>
      <w:sz w:val="18"/>
      <w:szCs w:val="18"/>
    </w:rPr>
  </w:style>
  <w:style w:type="character" w:styleId="IntenseEmphasis">
    <w:name w:val="Intense Emphasis"/>
    <w:uiPriority w:val="21"/>
    <w:semiHidden/>
    <w:qFormat/>
    <w:rsid w:val="004B6087"/>
    <w:rPr>
      <w:b/>
      <w:bCs/>
      <w:caps/>
      <w:color w:val="1F3763" w:themeColor="accent1" w:themeShade="7F"/>
      <w:spacing w:val="10"/>
    </w:rPr>
  </w:style>
  <w:style w:type="paragraph" w:styleId="IntenseQuote">
    <w:name w:val="Intense Quote"/>
    <w:basedOn w:val="Normal"/>
    <w:next w:val="Normal"/>
    <w:link w:val="IntenseQuoteChar"/>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semiHidden/>
    <w:rsid w:val="000B112D"/>
    <w:rPr>
      <w:i/>
      <w:iCs/>
      <w:color w:val="4472C4" w:themeColor="accent1"/>
      <w:sz w:val="20"/>
      <w:szCs w:val="20"/>
    </w:rPr>
  </w:style>
  <w:style w:type="character" w:styleId="IntenseReference">
    <w:name w:val="Intense Reference"/>
    <w:uiPriority w:val="32"/>
    <w:semiHidden/>
    <w:qFormat/>
    <w:rsid w:val="004B6087"/>
    <w:rPr>
      <w:b/>
      <w:bCs/>
      <w:i/>
      <w:iCs/>
      <w:caps/>
      <w:color w:val="4472C4" w:themeColor="accent1"/>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basedOn w:val="DefaultParagraphFont"/>
    <w:uiPriority w:val="99"/>
    <w:unhideWhenUsed/>
    <w:rsid w:val="008961F2"/>
    <w:rPr>
      <w:color w:val="538135"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customStyle="1" w:styleId="Heading3Char">
    <w:name w:val="Heading 3 Char"/>
    <w:basedOn w:val="DefaultParagraphFont"/>
    <w:link w:val="Heading3"/>
    <w:uiPriority w:val="9"/>
    <w:semiHidden/>
    <w:rsid w:val="004B6087"/>
    <w:rPr>
      <w:caps/>
      <w:color w:val="1F3763" w:themeColor="accent1" w:themeShade="7F"/>
      <w:spacing w:val="15"/>
    </w:rPr>
  </w:style>
  <w:style w:type="paragraph" w:styleId="Caption">
    <w:name w:val="caption"/>
    <w:basedOn w:val="Normal"/>
    <w:next w:val="Normal"/>
    <w:uiPriority w:val="35"/>
    <w:semiHidden/>
    <w:unhideWhenUsed/>
    <w:qFormat/>
    <w:rsid w:val="004B6087"/>
    <w:rPr>
      <w:b/>
      <w:bCs/>
      <w:color w:val="2F5496" w:themeColor="accent1" w:themeShade="BF"/>
      <w:sz w:val="16"/>
      <w:szCs w:val="16"/>
    </w:rPr>
  </w:style>
  <w:style w:type="character" w:styleId="Emphasis">
    <w:name w:val="Emphasis"/>
    <w:uiPriority w:val="20"/>
    <w:semiHidden/>
    <w:qFormat/>
    <w:rsid w:val="004B6087"/>
    <w:rPr>
      <w:caps/>
      <w:color w:val="1F3763" w:themeColor="accent1" w:themeShade="7F"/>
      <w:spacing w:val="5"/>
    </w:rPr>
  </w:style>
  <w:style w:type="character" w:customStyle="1" w:styleId="NoSpacingChar">
    <w:name w:val="No Spacing Char"/>
    <w:basedOn w:val="DefaultParagraphFont"/>
    <w:link w:val="NoSpacing"/>
    <w:uiPriority w:val="1"/>
    <w:rsid w:val="004B6087"/>
    <w:rPr>
      <w:sz w:val="20"/>
      <w:szCs w:val="20"/>
    </w:rPr>
  </w:style>
  <w:style w:type="paragraph" w:styleId="ListParagraph">
    <w:name w:val="List Paragraph"/>
    <w:basedOn w:val="Normal"/>
    <w:uiPriority w:val="34"/>
    <w:semiHidden/>
    <w:qFormat/>
    <w:rsid w:val="004B6087"/>
    <w:pPr>
      <w:ind w:left="720"/>
      <w:contextualSpacing/>
    </w:pPr>
  </w:style>
  <w:style w:type="paragraph" w:styleId="Quote">
    <w:name w:val="Quote"/>
    <w:basedOn w:val="Normal"/>
    <w:next w:val="Normal"/>
    <w:link w:val="QuoteChar"/>
    <w:uiPriority w:val="29"/>
    <w:semiHidden/>
    <w:qFormat/>
    <w:rsid w:val="004B6087"/>
    <w:rPr>
      <w:i/>
      <w:iCs/>
    </w:rPr>
  </w:style>
  <w:style w:type="character" w:customStyle="1" w:styleId="QuoteChar">
    <w:name w:val="Quote Char"/>
    <w:basedOn w:val="DefaultParagraphFont"/>
    <w:link w:val="Quote"/>
    <w:uiPriority w:val="29"/>
    <w:semiHidden/>
    <w:rsid w:val="000B112D"/>
    <w:rPr>
      <w:i/>
      <w:iCs/>
      <w:sz w:val="20"/>
      <w:szCs w:val="20"/>
    </w:rPr>
  </w:style>
  <w:style w:type="character" w:styleId="SubtleEmphasis">
    <w:name w:val="Subtle Emphasis"/>
    <w:uiPriority w:val="19"/>
    <w:semiHidden/>
    <w:qFormat/>
    <w:rsid w:val="004B6087"/>
    <w:rPr>
      <w:i/>
      <w:iCs/>
      <w:color w:val="1F3763" w:themeColor="accent1" w:themeShade="7F"/>
    </w:rPr>
  </w:style>
  <w:style w:type="character" w:styleId="SubtleReference">
    <w:name w:val="Subtle Reference"/>
    <w:uiPriority w:val="31"/>
    <w:semiHidden/>
    <w:qFormat/>
    <w:rsid w:val="004B6087"/>
    <w:rPr>
      <w:b/>
      <w:bCs/>
      <w:color w:val="4472C4" w:themeColor="accent1"/>
    </w:rPr>
  </w:style>
  <w:style w:type="character" w:styleId="BookTitle">
    <w:name w:val="Book Title"/>
    <w:uiPriority w:val="33"/>
    <w:semiHidden/>
    <w:qFormat/>
    <w:rsid w:val="004B6087"/>
    <w:rPr>
      <w:b/>
      <w:bCs/>
      <w:i/>
      <w:iCs/>
      <w:spacing w:val="9"/>
    </w:rPr>
  </w:style>
  <w:style w:type="paragraph" w:styleId="TOCHeading">
    <w:name w:val="TOC Heading"/>
    <w:basedOn w:val="Heading1"/>
    <w:next w:val="Normal"/>
    <w:uiPriority w:val="39"/>
    <w:semiHidden/>
    <w:unhideWhenUsed/>
    <w:qFormat/>
    <w:rsid w:val="004B6087"/>
    <w:pPr>
      <w:outlineLvl w:val="9"/>
    </w:pPr>
  </w:style>
  <w:style w:type="table" w:styleId="ListTable1Light-Accent1">
    <w:name w:val="List Table 1 Light Accent 1"/>
    <w:basedOn w:val="TableNormal"/>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5">
    <w:name w:val="Grid Table 1 Light Accent 5"/>
    <w:basedOn w:val="TableNormal"/>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85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vat-refunds-for-diy-housebuilders-claim-form-and-notes-for-conversions-vat431c" TargetMode="External"/><Relationship Id="rId13" Type="http://schemas.openxmlformats.org/officeDocument/2006/relationships/hyperlink" Target="https://www.gov.uk/government/organisations/hm-revenue-custo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buildings-and-construction-vat-notice-708" TargetMode="External"/><Relationship Id="rId12" Type="http://schemas.openxmlformats.org/officeDocument/2006/relationships/hyperlink" Target="https://www.gov.uk/government/publications/vat-refunds-for-diy-housebuilders-claim-form-and-notes-for-conversions-vat431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uidance/buildings-and-construction-vat-notice-7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buildings-and-construction-vat-notice-708" TargetMode="External"/><Relationship Id="rId5" Type="http://schemas.openxmlformats.org/officeDocument/2006/relationships/footnotes" Target="footnotes.xml"/><Relationship Id="rId15" Type="http://schemas.openxmlformats.org/officeDocument/2006/relationships/hyperlink" Target="https://www.gov.uk/government/publications/vat-refunds-for-diy-housebuilders-claim-form-and-notes-for-conversions-vat431c" TargetMode="External"/><Relationship Id="rId10" Type="http://schemas.openxmlformats.org/officeDocument/2006/relationships/hyperlink" Target="https://www.gov.uk/guidance/buildings-and-construction-vat-notice-7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buildings-and-construction-vat-notice-708" TargetMode="External"/><Relationship Id="rId14" Type="http://schemas.openxmlformats.org/officeDocument/2006/relationships/hyperlink" Target="https://www.gov.uk/government/publications/vat-refunds-for-diy-housebuilders-claim-form-for-new-houses-vat431n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rdon\AppData\Local\Microsoft\Office\16.0\DTS\en-US%7bB508A6A6-576F-405D-B7E8-80EC79D924B6%7d\%7b138BCDAA-2DDC-41AC-907E-D6278AD4D64E%7dtf02911896_win32.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{138BCDAA-2DDC-41AC-907E-D6278AD4D64E}tf02911896_win32</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2023-05-19T12:50:00Z</dcterms:created>
  <dcterms:modified xsi:type="dcterms:W3CDTF">2023-05-19T13:28:00Z</dcterms:modified>
  <cp:contentStatus/>
</cp:coreProperties>
</file>