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30" w:rsidRDefault="00456B30" w:rsidP="00685DE7">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rsidR="00456B30" w:rsidRPr="008B7158" w:rsidRDefault="00456B30" w:rsidP="00456B30">
      <w:pPr>
        <w:rPr>
          <w:rFonts w:ascii="Arial" w:hAnsi="Arial" w:cs="Arial"/>
        </w:rPr>
      </w:pPr>
    </w:p>
    <w:p w:rsidR="00456B30" w:rsidRDefault="00456B30" w:rsidP="00456B30">
      <w:pPr>
        <w:pStyle w:val="BodyText2"/>
        <w:spacing w:after="0"/>
        <w:outlineLvl w:val="0"/>
        <w:rPr>
          <w:b w:val="0"/>
        </w:rPr>
      </w:pPr>
      <w:r>
        <w:t>DIRECTORATE:</w:t>
      </w:r>
      <w:r>
        <w:tab/>
      </w:r>
      <w:r>
        <w:tab/>
      </w:r>
      <w:r w:rsidR="00F130A4">
        <w:rPr>
          <w:b w:val="0"/>
        </w:rPr>
        <w:t>Chief Executive’s Directorate</w:t>
      </w:r>
    </w:p>
    <w:p w:rsidR="00456B30" w:rsidRDefault="00456B30" w:rsidP="00456B30">
      <w:pPr>
        <w:ind w:right="91"/>
        <w:rPr>
          <w:b/>
        </w:rPr>
      </w:pPr>
    </w:p>
    <w:p w:rsidR="00456B30" w:rsidRPr="00AD6D4C" w:rsidRDefault="00456B30" w:rsidP="00456B30">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AF41E8">
        <w:rPr>
          <w:rFonts w:ascii="Arial" w:hAnsi="Arial" w:cs="Arial"/>
        </w:rPr>
        <w:t>Partnership Services</w:t>
      </w:r>
    </w:p>
    <w:p w:rsidR="00456B30" w:rsidRPr="00AD6D4C" w:rsidRDefault="00456B30" w:rsidP="00456B30">
      <w:pPr>
        <w:ind w:right="91"/>
        <w:rPr>
          <w:rFonts w:ascii="Arial" w:hAnsi="Arial" w:cs="Arial"/>
        </w:rPr>
      </w:pPr>
    </w:p>
    <w:p w:rsidR="00456B30" w:rsidRDefault="00456B30" w:rsidP="00456B30">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AF41E8">
        <w:rPr>
          <w:rFonts w:ascii="Arial" w:hAnsi="Arial" w:cs="Arial"/>
        </w:rPr>
        <w:t>Community Safety Partnership Officer</w:t>
      </w:r>
    </w:p>
    <w:p w:rsidR="00456B30" w:rsidRPr="00AD6D4C" w:rsidRDefault="00456B30" w:rsidP="00456B30">
      <w:pPr>
        <w:ind w:right="91"/>
        <w:rPr>
          <w:rFonts w:ascii="Arial" w:hAnsi="Arial" w:cs="Arial"/>
          <w:b/>
        </w:rPr>
      </w:pPr>
    </w:p>
    <w:p w:rsidR="00456B30" w:rsidRPr="00AD6D4C" w:rsidRDefault="00456B30" w:rsidP="00456B30">
      <w:pPr>
        <w:ind w:right="-334"/>
        <w:rPr>
          <w:rFonts w:ascii="Arial" w:hAnsi="Arial" w:cs="Arial"/>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685DE7">
        <w:rPr>
          <w:rFonts w:ascii="Arial" w:hAnsi="Arial" w:cs="Arial"/>
        </w:rPr>
        <w:t>G</w:t>
      </w:r>
      <w:r w:rsidR="00DC2F6A">
        <w:rPr>
          <w:rFonts w:ascii="Arial" w:hAnsi="Arial" w:cs="Arial"/>
        </w:rPr>
        <w:t>rade 8</w:t>
      </w:r>
    </w:p>
    <w:p w:rsidR="00456B30" w:rsidRPr="00AD6D4C" w:rsidRDefault="00456B30" w:rsidP="00456B30">
      <w:pPr>
        <w:ind w:right="91"/>
        <w:rPr>
          <w:rFonts w:ascii="Arial" w:hAnsi="Arial" w:cs="Arial"/>
        </w:rPr>
      </w:pPr>
    </w:p>
    <w:p w:rsidR="009C1868" w:rsidRDefault="00456B30" w:rsidP="00456B30">
      <w:pPr>
        <w:ind w:right="91"/>
        <w:rPr>
          <w:rFonts w:ascii="Arial" w:hAnsi="Arial" w:cs="Arial"/>
        </w:rPr>
      </w:pPr>
      <w:r w:rsidRPr="00AD6D4C">
        <w:rPr>
          <w:rFonts w:ascii="Arial" w:hAnsi="Arial" w:cs="Arial"/>
          <w:b/>
        </w:rPr>
        <w:t>RESPONSIBLE TO:</w:t>
      </w:r>
      <w:r w:rsidRPr="00AD6D4C">
        <w:rPr>
          <w:rFonts w:ascii="Arial" w:hAnsi="Arial" w:cs="Arial"/>
        </w:rPr>
        <w:tab/>
      </w:r>
      <w:r w:rsidR="00360C29">
        <w:rPr>
          <w:rFonts w:ascii="Arial" w:hAnsi="Arial" w:cs="Arial"/>
        </w:rPr>
        <w:t>Senior Partnership &amp; CSP Officer</w:t>
      </w:r>
      <w:bookmarkStart w:id="0" w:name="_GoBack"/>
      <w:bookmarkEnd w:id="0"/>
    </w:p>
    <w:p w:rsidR="00456B30" w:rsidRPr="00AD6D4C" w:rsidRDefault="0052653C" w:rsidP="00456B30">
      <w:pPr>
        <w:ind w:right="91"/>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C1868">
        <w:rPr>
          <w:rFonts w:ascii="Arial" w:hAnsi="Arial" w:cs="Arial"/>
        </w:rPr>
        <w:tab/>
      </w:r>
      <w:r w:rsidR="009C1868">
        <w:rPr>
          <w:rFonts w:ascii="Arial" w:hAnsi="Arial" w:cs="Arial"/>
        </w:rPr>
        <w:tab/>
      </w:r>
      <w:r w:rsidR="009C1868">
        <w:rPr>
          <w:rFonts w:ascii="Arial" w:hAnsi="Arial" w:cs="Arial"/>
        </w:rPr>
        <w:tab/>
      </w:r>
      <w:r w:rsidR="009C1868">
        <w:rPr>
          <w:rFonts w:ascii="Arial" w:hAnsi="Arial" w:cs="Arial"/>
        </w:rPr>
        <w:tab/>
      </w:r>
      <w:r w:rsidR="0081588B">
        <w:rPr>
          <w:rFonts w:ascii="Arial" w:hAnsi="Arial" w:cs="Arial"/>
          <w:noProof/>
          <w:lang w:eastAsia="en-GB"/>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111760</wp:posOffset>
                </wp:positionV>
                <wp:extent cx="54864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747B"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6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4L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" o:allowincell="f"/>
            </w:pict>
          </mc:Fallback>
        </mc:AlternateContent>
      </w:r>
    </w:p>
    <w:p w:rsidR="00456B30" w:rsidRPr="00AD6D4C" w:rsidRDefault="00456B30" w:rsidP="00456B30">
      <w:pPr>
        <w:pStyle w:val="BodyText"/>
        <w:spacing w:after="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rsidR="00AF41E8" w:rsidRDefault="00AF41E8" w:rsidP="002E2837">
      <w:pPr>
        <w:autoSpaceDE w:val="0"/>
        <w:autoSpaceDN w:val="0"/>
        <w:adjustRightInd w:val="0"/>
        <w:jc w:val="both"/>
        <w:rPr>
          <w:rFonts w:ascii="Arial" w:hAnsi="Arial" w:cs="Arial"/>
        </w:rPr>
      </w:pPr>
      <w:r>
        <w:rPr>
          <w:rFonts w:ascii="Arial" w:hAnsi="Arial" w:cs="Arial"/>
        </w:rPr>
        <w:t>To work as part of the Community Safety Team to deliver the Borough</w:t>
      </w:r>
    </w:p>
    <w:p w:rsidR="00AF41E8" w:rsidRDefault="00AF41E8" w:rsidP="002E2837">
      <w:pPr>
        <w:autoSpaceDE w:val="0"/>
        <w:autoSpaceDN w:val="0"/>
        <w:adjustRightInd w:val="0"/>
        <w:jc w:val="both"/>
        <w:rPr>
          <w:rFonts w:ascii="Arial" w:hAnsi="Arial" w:cs="Arial"/>
        </w:rPr>
      </w:pPr>
      <w:r>
        <w:rPr>
          <w:rFonts w:ascii="Arial" w:hAnsi="Arial" w:cs="Arial"/>
        </w:rPr>
        <w:t>Council’s priorities and to support the work of the Bridgend’s Community Safety Partnership (CSP) in tackling antisocial behaviour and supporting victims of crime, especially the most vulnerable, focussing on ‘crime reduction’ or ‘community confidence’.</w:t>
      </w:r>
    </w:p>
    <w:p w:rsidR="00AF41E8" w:rsidRDefault="00AF41E8" w:rsidP="002E2837">
      <w:pPr>
        <w:autoSpaceDE w:val="0"/>
        <w:autoSpaceDN w:val="0"/>
        <w:adjustRightInd w:val="0"/>
        <w:jc w:val="both"/>
        <w:rPr>
          <w:rFonts w:ascii="Arial" w:hAnsi="Arial" w:cs="Arial"/>
        </w:rPr>
      </w:pPr>
    </w:p>
    <w:p w:rsidR="00AF41E8" w:rsidRDefault="00AF41E8" w:rsidP="002E2837">
      <w:pPr>
        <w:autoSpaceDE w:val="0"/>
        <w:autoSpaceDN w:val="0"/>
        <w:adjustRightInd w:val="0"/>
        <w:jc w:val="both"/>
        <w:rPr>
          <w:rFonts w:ascii="Arial" w:eastAsia="Arial" w:hAnsi="Arial"/>
          <w:color w:val="000000"/>
        </w:rPr>
      </w:pPr>
      <w:r>
        <w:rPr>
          <w:rFonts w:ascii="Arial" w:hAnsi="Arial" w:cs="Arial"/>
        </w:rPr>
        <w:t>To assist in any CSP response to Borough issues of crime, disorder, antisocial behaviour, substance misuse, or any of the identified priorities for the CSP where performance is monitored, measured and evaluated to inform future plans.</w:t>
      </w:r>
    </w:p>
    <w:p w:rsidR="00456B30" w:rsidRPr="00AD6D4C" w:rsidRDefault="0081588B" w:rsidP="00456B30">
      <w:pPr>
        <w:pStyle w:val="Footer"/>
        <w:rPr>
          <w:rFonts w:ascii="Arial" w:hAnsi="Arial" w:cs="Arial"/>
          <w:noProof/>
        </w:rPr>
      </w:pPr>
      <w:r>
        <w:rPr>
          <w:rFonts w:ascii="Arial" w:hAnsi="Arial" w:cs="Arial"/>
          <w:noProof/>
          <w:lang w:eastAsia="en-GB"/>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118745</wp:posOffset>
                </wp:positionV>
                <wp:extent cx="54864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577C"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" o:allowincell="f"/>
            </w:pict>
          </mc:Fallback>
        </mc:AlternateContent>
      </w:r>
    </w:p>
    <w:p w:rsidR="00456B30" w:rsidRPr="00AD6D4C" w:rsidRDefault="00456B30" w:rsidP="00456B30">
      <w:pPr>
        <w:pStyle w:val="BodyText2"/>
        <w:spacing w:after="0"/>
        <w:outlineLvl w:val="0"/>
        <w:rPr>
          <w:szCs w:val="24"/>
        </w:rPr>
      </w:pPr>
      <w:r w:rsidRPr="00AD6D4C">
        <w:rPr>
          <w:szCs w:val="24"/>
        </w:rPr>
        <w:t>PRINCIPAL RESPONSIBILITIES AND ACTIVITIES:</w:t>
      </w:r>
    </w:p>
    <w:p w:rsidR="00456B30" w:rsidRDefault="00456B30" w:rsidP="00456B30">
      <w:pPr>
        <w:rPr>
          <w:rFonts w:ascii="Arial" w:hAnsi="Arial" w:cs="Arial"/>
        </w:rPr>
      </w:pPr>
    </w:p>
    <w:p w:rsidR="00AF41E8" w:rsidRPr="007E5BF2" w:rsidRDefault="00AF41E8" w:rsidP="002E2837">
      <w:pPr>
        <w:pStyle w:val="ListParagraph"/>
        <w:numPr>
          <w:ilvl w:val="0"/>
          <w:numId w:val="17"/>
        </w:numPr>
        <w:autoSpaceDE w:val="0"/>
        <w:autoSpaceDN w:val="0"/>
        <w:adjustRightInd w:val="0"/>
        <w:contextualSpacing/>
        <w:jc w:val="both"/>
        <w:rPr>
          <w:rFonts w:ascii="Calibri" w:hAnsi="Calibri" w:cs="Calibri"/>
          <w:sz w:val="22"/>
          <w:szCs w:val="22"/>
          <w:lang w:val="en"/>
        </w:rPr>
      </w:pPr>
      <w:r w:rsidRPr="007E5BF2">
        <w:rPr>
          <w:rFonts w:ascii="Arial" w:hAnsi="Arial" w:cs="Arial"/>
        </w:rPr>
        <w:t xml:space="preserve">Working with </w:t>
      </w:r>
      <w:r w:rsidR="0052653C">
        <w:rPr>
          <w:rFonts w:ascii="Arial" w:hAnsi="Arial" w:cs="Arial"/>
        </w:rPr>
        <w:t>Partnership Co-ordinator</w:t>
      </w:r>
      <w:r w:rsidRPr="007E5BF2">
        <w:rPr>
          <w:rFonts w:ascii="Arial" w:hAnsi="Arial" w:cs="Arial"/>
        </w:rPr>
        <w:t xml:space="preserve"> and partner agencies on behalf of the authority to problem solve community safety issues, including antisocial behaviour, hate crime, substance misuse, vulnerable people and any other identified CSP priority.</w:t>
      </w:r>
    </w:p>
    <w:p w:rsidR="00AF41E8" w:rsidRPr="007E5BF2" w:rsidRDefault="00AF41E8" w:rsidP="002E2837">
      <w:pPr>
        <w:pStyle w:val="ListParagraph"/>
        <w:autoSpaceDE w:val="0"/>
        <w:autoSpaceDN w:val="0"/>
        <w:adjustRightInd w:val="0"/>
        <w:ind w:left="360"/>
        <w:jc w:val="both"/>
        <w:rPr>
          <w:rFonts w:ascii="Calibri" w:hAnsi="Calibri" w:cs="Calibri"/>
          <w:lang w:val="en"/>
        </w:rPr>
      </w:pPr>
    </w:p>
    <w:p w:rsidR="00AF41E8" w:rsidRDefault="00AF41E8" w:rsidP="002E2837">
      <w:pPr>
        <w:pStyle w:val="ListParagraph"/>
        <w:numPr>
          <w:ilvl w:val="0"/>
          <w:numId w:val="17"/>
        </w:numPr>
        <w:tabs>
          <w:tab w:val="left" w:pos="360"/>
        </w:tabs>
        <w:ind w:right="629"/>
        <w:contextualSpacing/>
        <w:jc w:val="both"/>
        <w:textAlignment w:val="baseline"/>
        <w:rPr>
          <w:rFonts w:ascii="Arial" w:eastAsia="Arial" w:hAnsi="Arial"/>
          <w:color w:val="000000"/>
        </w:rPr>
      </w:pPr>
      <w:r w:rsidRPr="007E5BF2">
        <w:rPr>
          <w:rFonts w:ascii="Arial" w:eastAsia="Arial" w:hAnsi="Arial"/>
          <w:color w:val="000000"/>
        </w:rPr>
        <w:t>To work within multi-agency problem solving groups to ensure effective, timely and app</w:t>
      </w:r>
      <w:r>
        <w:rPr>
          <w:rFonts w:ascii="Arial" w:eastAsia="Arial" w:hAnsi="Arial"/>
          <w:color w:val="000000"/>
        </w:rPr>
        <w:t xml:space="preserve">ropriate action to “Anti-Social </w:t>
      </w:r>
      <w:r w:rsidRPr="007E5BF2">
        <w:rPr>
          <w:rFonts w:ascii="Arial" w:eastAsia="Arial" w:hAnsi="Arial"/>
          <w:color w:val="000000"/>
        </w:rPr>
        <w:t>Behavio</w:t>
      </w:r>
      <w:r>
        <w:rPr>
          <w:rFonts w:ascii="Arial" w:eastAsia="Arial" w:hAnsi="Arial"/>
          <w:color w:val="000000"/>
        </w:rPr>
        <w:t>u</w:t>
      </w:r>
      <w:r w:rsidRPr="007E5BF2">
        <w:rPr>
          <w:rFonts w:ascii="Arial" w:eastAsia="Arial" w:hAnsi="Arial"/>
          <w:color w:val="000000"/>
        </w:rPr>
        <w:t>r” (ASB) Hotspots, emerging trends and responding to community needs.</w:t>
      </w:r>
    </w:p>
    <w:p w:rsidR="00AF41E8" w:rsidRPr="007E5BF2" w:rsidRDefault="00AF41E8" w:rsidP="002E2837">
      <w:pPr>
        <w:pStyle w:val="ListParagraph"/>
        <w:ind w:left="0"/>
        <w:jc w:val="both"/>
        <w:rPr>
          <w:rFonts w:ascii="Arial" w:eastAsia="Arial" w:hAnsi="Arial"/>
          <w:color w:val="000000"/>
        </w:rPr>
      </w:pPr>
    </w:p>
    <w:p w:rsidR="00AF41E8" w:rsidRPr="007E5BF2" w:rsidRDefault="00AF41E8" w:rsidP="002E2837">
      <w:pPr>
        <w:pStyle w:val="ListParagraph"/>
        <w:numPr>
          <w:ilvl w:val="0"/>
          <w:numId w:val="17"/>
        </w:numPr>
        <w:tabs>
          <w:tab w:val="left" w:pos="360"/>
        </w:tabs>
        <w:ind w:right="470"/>
        <w:contextualSpacing/>
        <w:jc w:val="both"/>
        <w:textAlignment w:val="baseline"/>
        <w:rPr>
          <w:rFonts w:ascii="Arial" w:eastAsia="Arial" w:hAnsi="Arial"/>
          <w:color w:val="000000"/>
        </w:rPr>
      </w:pPr>
      <w:r w:rsidRPr="007E5BF2">
        <w:rPr>
          <w:rFonts w:ascii="Arial" w:hAnsi="Arial" w:cs="Arial"/>
        </w:rPr>
        <w:t xml:space="preserve">Facilitating </w:t>
      </w:r>
      <w:r w:rsidRPr="007E5BF2">
        <w:rPr>
          <w:rFonts w:ascii="Arial" w:eastAsia="Arial" w:hAnsi="Arial"/>
          <w:color w:val="000000"/>
        </w:rPr>
        <w:t>the anti-social behaviour case management process on behalf of the Council; including conducting joint visits with perpetrators, issuing Acceptable Behaviour Contracts (ABCs), applying for orders from the Courts and updating ASBIT.</w:t>
      </w:r>
    </w:p>
    <w:p w:rsidR="00AF41E8" w:rsidRDefault="00AF41E8" w:rsidP="002E2837">
      <w:pPr>
        <w:tabs>
          <w:tab w:val="left" w:pos="360"/>
        </w:tabs>
        <w:ind w:right="629"/>
        <w:jc w:val="both"/>
        <w:textAlignment w:val="baseline"/>
        <w:rPr>
          <w:rFonts w:ascii="Arial" w:eastAsia="Arial" w:hAnsi="Arial"/>
          <w:color w:val="000000"/>
        </w:rPr>
      </w:pPr>
    </w:p>
    <w:p w:rsidR="00AF41E8" w:rsidRPr="007E5BF2" w:rsidRDefault="00AF41E8" w:rsidP="002E2837">
      <w:pPr>
        <w:pStyle w:val="ListParagraph"/>
        <w:numPr>
          <w:ilvl w:val="0"/>
          <w:numId w:val="17"/>
        </w:numPr>
        <w:autoSpaceDE w:val="0"/>
        <w:autoSpaceDN w:val="0"/>
        <w:adjustRightInd w:val="0"/>
        <w:contextualSpacing/>
        <w:jc w:val="both"/>
        <w:rPr>
          <w:rFonts w:ascii="Arial" w:hAnsi="Arial" w:cs="Arial"/>
        </w:rPr>
      </w:pPr>
      <w:r w:rsidRPr="007E5BF2">
        <w:rPr>
          <w:rFonts w:ascii="Arial" w:hAnsi="Arial" w:cs="Arial"/>
        </w:rPr>
        <w:t>To work in partnership with the police and other agencies to investigate and manage crime and antisocial behaviour reports, including ensuring victims are updated on progress and conclusions.</w:t>
      </w:r>
    </w:p>
    <w:p w:rsidR="00AF41E8" w:rsidRDefault="00AF41E8" w:rsidP="002E2837">
      <w:pPr>
        <w:autoSpaceDE w:val="0"/>
        <w:autoSpaceDN w:val="0"/>
        <w:adjustRightInd w:val="0"/>
        <w:jc w:val="both"/>
        <w:rPr>
          <w:rFonts w:ascii="Arial" w:hAnsi="Arial" w:cs="Arial"/>
        </w:rPr>
      </w:pPr>
    </w:p>
    <w:p w:rsidR="00AF41E8" w:rsidRPr="007E5BF2" w:rsidRDefault="00AF41E8" w:rsidP="002E2837">
      <w:pPr>
        <w:pStyle w:val="ListParagraph"/>
        <w:numPr>
          <w:ilvl w:val="0"/>
          <w:numId w:val="17"/>
        </w:numPr>
        <w:autoSpaceDE w:val="0"/>
        <w:autoSpaceDN w:val="0"/>
        <w:adjustRightInd w:val="0"/>
        <w:contextualSpacing/>
        <w:jc w:val="both"/>
        <w:rPr>
          <w:rFonts w:ascii="Arial" w:eastAsia="Arial" w:hAnsi="Arial"/>
          <w:color w:val="000000"/>
          <w:szCs w:val="22"/>
          <w:lang w:val="en-US"/>
        </w:rPr>
      </w:pPr>
      <w:r w:rsidRPr="007E5BF2">
        <w:rPr>
          <w:rFonts w:ascii="Arial" w:hAnsi="Arial" w:cs="Arial"/>
        </w:rPr>
        <w:lastRenderedPageBreak/>
        <w:t>To utilise the incremental approach of antisocial behaviour powers including warning letters, community protection notices, fixed penalty notices, and associated orders to effect improved behaviours within the community.</w:t>
      </w:r>
    </w:p>
    <w:p w:rsidR="00AF41E8" w:rsidRPr="007E5BF2" w:rsidRDefault="00AF41E8" w:rsidP="002E2837">
      <w:pPr>
        <w:pStyle w:val="ListParagraph"/>
        <w:ind w:left="0"/>
        <w:jc w:val="both"/>
        <w:rPr>
          <w:rFonts w:ascii="Arial" w:eastAsia="Arial" w:hAnsi="Arial"/>
          <w:color w:val="000000"/>
        </w:rPr>
      </w:pPr>
    </w:p>
    <w:p w:rsidR="00AF41E8" w:rsidRPr="007E5BF2" w:rsidRDefault="00AF41E8" w:rsidP="002E2837">
      <w:pPr>
        <w:pStyle w:val="ListParagraph"/>
        <w:autoSpaceDE w:val="0"/>
        <w:autoSpaceDN w:val="0"/>
        <w:adjustRightInd w:val="0"/>
        <w:ind w:left="360"/>
        <w:jc w:val="both"/>
        <w:rPr>
          <w:rFonts w:ascii="Arial" w:eastAsia="Arial" w:hAnsi="Arial"/>
          <w:color w:val="000000"/>
        </w:rPr>
      </w:pPr>
    </w:p>
    <w:p w:rsidR="00AF41E8" w:rsidRPr="007E5BF2" w:rsidRDefault="00AF41E8" w:rsidP="002E2837">
      <w:pPr>
        <w:pStyle w:val="ListParagraph"/>
        <w:numPr>
          <w:ilvl w:val="0"/>
          <w:numId w:val="17"/>
        </w:numPr>
        <w:tabs>
          <w:tab w:val="left" w:pos="360"/>
        </w:tabs>
        <w:ind w:right="785"/>
        <w:contextualSpacing/>
        <w:jc w:val="both"/>
        <w:textAlignment w:val="baseline"/>
        <w:rPr>
          <w:rFonts w:ascii="Arial" w:eastAsia="Arial" w:hAnsi="Arial"/>
          <w:color w:val="000000"/>
        </w:rPr>
      </w:pPr>
      <w:r w:rsidRPr="007E5BF2">
        <w:rPr>
          <w:rFonts w:ascii="Arial" w:eastAsia="Arial" w:hAnsi="Arial"/>
          <w:color w:val="000000"/>
        </w:rPr>
        <w:t>To be the BCBC lead officer for Community Trigger applications, and to log cases, liaise with partners, and respond as appropriate, en</w:t>
      </w:r>
      <w:r>
        <w:rPr>
          <w:rFonts w:ascii="Arial" w:eastAsia="Arial" w:hAnsi="Arial"/>
          <w:color w:val="000000"/>
        </w:rPr>
        <w:t>suring compliance with the Anti-</w:t>
      </w:r>
      <w:r w:rsidRPr="007E5BF2">
        <w:rPr>
          <w:rFonts w:ascii="Arial" w:eastAsia="Arial" w:hAnsi="Arial"/>
          <w:color w:val="000000"/>
        </w:rPr>
        <w:t>Social Behaviour, Crime and Policing Act 2014.</w:t>
      </w:r>
    </w:p>
    <w:p w:rsidR="00AF41E8" w:rsidRDefault="00AF41E8" w:rsidP="002E2837">
      <w:pPr>
        <w:tabs>
          <w:tab w:val="left" w:pos="360"/>
        </w:tabs>
        <w:ind w:right="550"/>
        <w:jc w:val="both"/>
        <w:textAlignment w:val="baseline"/>
        <w:rPr>
          <w:rFonts w:ascii="Arial" w:eastAsia="Arial" w:hAnsi="Arial"/>
          <w:color w:val="000000"/>
          <w:spacing w:val="-1"/>
        </w:rPr>
      </w:pPr>
    </w:p>
    <w:p w:rsidR="00AF41E8" w:rsidRDefault="00AF41E8" w:rsidP="002E2837">
      <w:pPr>
        <w:pStyle w:val="ListParagraph"/>
        <w:numPr>
          <w:ilvl w:val="0"/>
          <w:numId w:val="17"/>
        </w:numPr>
        <w:tabs>
          <w:tab w:val="left" w:pos="360"/>
        </w:tabs>
        <w:ind w:right="550"/>
        <w:contextualSpacing/>
        <w:jc w:val="both"/>
        <w:textAlignment w:val="baseline"/>
        <w:rPr>
          <w:rFonts w:ascii="Arial" w:eastAsia="Arial" w:hAnsi="Arial"/>
          <w:color w:val="000000"/>
          <w:spacing w:val="-1"/>
        </w:rPr>
      </w:pPr>
      <w:r w:rsidRPr="007E5BF2">
        <w:rPr>
          <w:rFonts w:ascii="Arial" w:eastAsia="Arial" w:hAnsi="Arial"/>
          <w:color w:val="000000"/>
          <w:spacing w:val="-1"/>
        </w:rPr>
        <w:t>Co-ordination and delivery of a Mediation Service for BCBC; including appropriately publicising the service, creating and maintaining case files, face to face meetings with victims and perpetrators, facilitating meetings between disputing parties, and assisting them with a written agreement.</w:t>
      </w:r>
    </w:p>
    <w:p w:rsidR="00AF41E8" w:rsidRPr="007E5BF2" w:rsidRDefault="00AF41E8" w:rsidP="002E2837">
      <w:pPr>
        <w:pStyle w:val="ListParagraph"/>
        <w:ind w:left="0"/>
        <w:jc w:val="both"/>
        <w:rPr>
          <w:rFonts w:ascii="Arial" w:eastAsia="Arial" w:hAnsi="Arial"/>
          <w:color w:val="000000"/>
          <w:spacing w:val="-1"/>
        </w:rPr>
      </w:pPr>
    </w:p>
    <w:p w:rsidR="00AF41E8" w:rsidRDefault="00AF41E8" w:rsidP="002E2837">
      <w:pPr>
        <w:pStyle w:val="ListParagraph"/>
        <w:numPr>
          <w:ilvl w:val="0"/>
          <w:numId w:val="17"/>
        </w:numPr>
        <w:tabs>
          <w:tab w:val="left" w:pos="360"/>
          <w:tab w:val="left" w:pos="504"/>
        </w:tabs>
        <w:ind w:right="235"/>
        <w:contextualSpacing/>
        <w:jc w:val="both"/>
        <w:textAlignment w:val="baseline"/>
        <w:rPr>
          <w:rFonts w:ascii="Arial" w:eastAsia="Arial" w:hAnsi="Arial"/>
          <w:color w:val="000000"/>
        </w:rPr>
      </w:pPr>
      <w:r w:rsidRPr="007E5BF2">
        <w:rPr>
          <w:rFonts w:ascii="Arial" w:eastAsia="Arial" w:hAnsi="Arial"/>
          <w:color w:val="000000"/>
        </w:rPr>
        <w:t>Co-ordination of CCTV service tackling anti</w:t>
      </w:r>
      <w:r w:rsidR="0016748A">
        <w:rPr>
          <w:rFonts w:ascii="Arial" w:eastAsia="Arial" w:hAnsi="Arial"/>
          <w:color w:val="000000"/>
        </w:rPr>
        <w:t>-</w:t>
      </w:r>
      <w:r w:rsidRPr="007E5BF2">
        <w:rPr>
          <w:rFonts w:ascii="Arial" w:eastAsia="Arial" w:hAnsi="Arial"/>
          <w:color w:val="000000"/>
        </w:rPr>
        <w:t>social behaviour; including deciding on appropriate use of cameras at significant locations, ensure compliance with the Data Protection Act 1998, liaise with partner agencies.</w:t>
      </w:r>
    </w:p>
    <w:p w:rsidR="00AF41E8" w:rsidRPr="007E5BF2" w:rsidRDefault="00AF41E8" w:rsidP="002E2837">
      <w:pPr>
        <w:pStyle w:val="ListParagraph"/>
        <w:tabs>
          <w:tab w:val="left" w:pos="360"/>
          <w:tab w:val="left" w:pos="504"/>
        </w:tabs>
        <w:ind w:left="360" w:right="235"/>
        <w:jc w:val="both"/>
        <w:textAlignment w:val="baseline"/>
        <w:rPr>
          <w:rFonts w:ascii="Arial" w:eastAsia="Arial" w:hAnsi="Arial"/>
          <w:color w:val="000000"/>
        </w:rPr>
      </w:pPr>
    </w:p>
    <w:p w:rsidR="00AF41E8" w:rsidRDefault="00AF41E8" w:rsidP="002E2837">
      <w:pPr>
        <w:pStyle w:val="ListParagraph"/>
        <w:numPr>
          <w:ilvl w:val="0"/>
          <w:numId w:val="17"/>
        </w:numPr>
        <w:tabs>
          <w:tab w:val="left" w:pos="360"/>
          <w:tab w:val="left" w:pos="504"/>
        </w:tabs>
        <w:ind w:right="629"/>
        <w:contextualSpacing/>
        <w:jc w:val="both"/>
        <w:textAlignment w:val="baseline"/>
        <w:rPr>
          <w:rFonts w:ascii="Arial" w:eastAsia="Arial" w:hAnsi="Arial"/>
          <w:color w:val="000000"/>
        </w:rPr>
      </w:pPr>
      <w:r w:rsidRPr="007E5BF2">
        <w:rPr>
          <w:rFonts w:ascii="Arial" w:eastAsia="Arial" w:hAnsi="Arial"/>
          <w:color w:val="000000"/>
        </w:rPr>
        <w:t>To observe confidentiality, data protection and other relevant legislation (e.g. RIPA) and to have experience and knowledge about information sharing protocols and WASPI compliance.</w:t>
      </w:r>
    </w:p>
    <w:p w:rsidR="0081588B" w:rsidRDefault="0081588B" w:rsidP="0081588B">
      <w:pPr>
        <w:pStyle w:val="ListParagraph"/>
        <w:rPr>
          <w:rFonts w:ascii="Arial" w:eastAsia="Arial" w:hAnsi="Arial"/>
          <w:color w:val="000000"/>
        </w:rPr>
      </w:pPr>
    </w:p>
    <w:p w:rsidR="0081588B" w:rsidRDefault="0081588B" w:rsidP="002E2837">
      <w:pPr>
        <w:pStyle w:val="ListParagraph"/>
        <w:numPr>
          <w:ilvl w:val="0"/>
          <w:numId w:val="17"/>
        </w:numPr>
        <w:tabs>
          <w:tab w:val="left" w:pos="360"/>
          <w:tab w:val="left" w:pos="504"/>
        </w:tabs>
        <w:ind w:right="629"/>
        <w:contextualSpacing/>
        <w:jc w:val="both"/>
        <w:textAlignment w:val="baseline"/>
        <w:rPr>
          <w:rFonts w:ascii="Arial" w:eastAsia="Arial" w:hAnsi="Arial"/>
          <w:color w:val="000000"/>
        </w:rPr>
      </w:pPr>
      <w:r>
        <w:rPr>
          <w:rFonts w:ascii="Arial" w:eastAsia="Arial" w:hAnsi="Arial"/>
          <w:color w:val="000000"/>
        </w:rPr>
        <w:t>As a statutory duty participate in “Engagement” events actively promoting the work of the CSP with the local community on crime and disorder issues supporting the annual Strategic Assessment.</w:t>
      </w:r>
    </w:p>
    <w:p w:rsidR="0081588B" w:rsidRDefault="0081588B" w:rsidP="0081588B">
      <w:pPr>
        <w:pStyle w:val="ListParagraph"/>
        <w:rPr>
          <w:rFonts w:ascii="Arial" w:eastAsia="Arial" w:hAnsi="Arial"/>
          <w:color w:val="000000"/>
        </w:rPr>
      </w:pPr>
    </w:p>
    <w:p w:rsidR="0081588B" w:rsidRDefault="0081588B" w:rsidP="002E2837">
      <w:pPr>
        <w:pStyle w:val="ListParagraph"/>
        <w:numPr>
          <w:ilvl w:val="0"/>
          <w:numId w:val="17"/>
        </w:numPr>
        <w:tabs>
          <w:tab w:val="left" w:pos="360"/>
          <w:tab w:val="left" w:pos="504"/>
        </w:tabs>
        <w:ind w:right="629"/>
        <w:contextualSpacing/>
        <w:jc w:val="both"/>
        <w:textAlignment w:val="baseline"/>
        <w:rPr>
          <w:rFonts w:ascii="Arial" w:eastAsia="Arial" w:hAnsi="Arial"/>
          <w:color w:val="000000"/>
        </w:rPr>
      </w:pPr>
      <w:r>
        <w:rPr>
          <w:rFonts w:ascii="Arial" w:eastAsia="Arial" w:hAnsi="Arial"/>
          <w:color w:val="000000"/>
        </w:rPr>
        <w:t>Monitor funding and budgets for CSP Grants including invoicing, ordering and use of the procurement card.</w:t>
      </w:r>
    </w:p>
    <w:p w:rsidR="00AF41E8" w:rsidRPr="007E5BF2" w:rsidRDefault="00AF41E8" w:rsidP="002E2837">
      <w:pPr>
        <w:pStyle w:val="ListParagraph"/>
        <w:tabs>
          <w:tab w:val="left" w:pos="360"/>
          <w:tab w:val="left" w:pos="504"/>
        </w:tabs>
        <w:ind w:left="360" w:right="629"/>
        <w:jc w:val="both"/>
        <w:textAlignment w:val="baseline"/>
        <w:rPr>
          <w:rFonts w:ascii="Arial" w:eastAsia="Arial" w:hAnsi="Arial"/>
          <w:color w:val="000000"/>
        </w:rPr>
      </w:pPr>
    </w:p>
    <w:p w:rsidR="00AF41E8" w:rsidRDefault="0081588B" w:rsidP="002E2837">
      <w:pPr>
        <w:pStyle w:val="ListParagraph"/>
        <w:numPr>
          <w:ilvl w:val="0"/>
          <w:numId w:val="17"/>
        </w:numPr>
        <w:tabs>
          <w:tab w:val="left" w:pos="360"/>
        </w:tabs>
        <w:ind w:right="550"/>
        <w:contextualSpacing/>
        <w:jc w:val="both"/>
        <w:textAlignment w:val="baseline"/>
        <w:rPr>
          <w:rFonts w:ascii="Arial" w:eastAsia="Arial" w:hAnsi="Arial"/>
          <w:color w:val="000000"/>
        </w:rPr>
      </w:pPr>
      <w:r>
        <w:rPr>
          <w:rFonts w:ascii="Arial" w:eastAsia="Arial" w:hAnsi="Arial"/>
          <w:color w:val="000000"/>
        </w:rPr>
        <w:t>R</w:t>
      </w:r>
      <w:r w:rsidR="00AF41E8" w:rsidRPr="007E5BF2">
        <w:rPr>
          <w:rFonts w:ascii="Arial" w:eastAsia="Arial" w:hAnsi="Arial"/>
          <w:color w:val="000000"/>
        </w:rPr>
        <w:t xml:space="preserve">espond to queries, </w:t>
      </w:r>
      <w:r>
        <w:rPr>
          <w:rFonts w:ascii="Arial" w:eastAsia="Arial" w:hAnsi="Arial"/>
          <w:color w:val="000000"/>
        </w:rPr>
        <w:t xml:space="preserve">member referrals, FOIs, </w:t>
      </w:r>
      <w:r w:rsidR="00AF41E8" w:rsidRPr="007E5BF2">
        <w:rPr>
          <w:rFonts w:ascii="Arial" w:eastAsia="Arial" w:hAnsi="Arial"/>
          <w:color w:val="000000"/>
        </w:rPr>
        <w:t>complaints and requests received from c</w:t>
      </w:r>
      <w:r>
        <w:rPr>
          <w:rFonts w:ascii="Arial" w:eastAsia="Arial" w:hAnsi="Arial"/>
          <w:color w:val="000000"/>
        </w:rPr>
        <w:t>us</w:t>
      </w:r>
      <w:r w:rsidR="00AF41E8" w:rsidRPr="007E5BF2">
        <w:rPr>
          <w:rFonts w:ascii="Arial" w:eastAsia="Arial" w:hAnsi="Arial"/>
          <w:color w:val="000000"/>
        </w:rPr>
        <w:t>tomers and stakeholders within agreed timescales,</w:t>
      </w:r>
    </w:p>
    <w:p w:rsidR="0081588B" w:rsidRDefault="0081588B" w:rsidP="002E2837">
      <w:pPr>
        <w:autoSpaceDE w:val="0"/>
        <w:autoSpaceDN w:val="0"/>
        <w:adjustRightInd w:val="0"/>
        <w:jc w:val="both"/>
        <w:rPr>
          <w:rFonts w:ascii="Arial" w:hAnsi="Arial" w:cs="Arial"/>
          <w:b/>
          <w:bCs/>
          <w:lang w:eastAsia="en-GB"/>
        </w:rPr>
      </w:pPr>
    </w:p>
    <w:p w:rsidR="00F130A4" w:rsidRDefault="00F130A4" w:rsidP="00F130A4">
      <w:pPr>
        <w:autoSpaceDE w:val="0"/>
        <w:autoSpaceDN w:val="0"/>
        <w:adjustRightInd w:val="0"/>
        <w:rPr>
          <w:rFonts w:ascii="Arial" w:hAnsi="Arial" w:cs="Arial"/>
          <w:b/>
          <w:bCs/>
          <w:lang w:eastAsia="en-GB"/>
        </w:rPr>
      </w:pPr>
    </w:p>
    <w:p w:rsidR="00F130A4" w:rsidRPr="00685DE7" w:rsidRDefault="00F130A4" w:rsidP="00F130A4">
      <w:pPr>
        <w:autoSpaceDE w:val="0"/>
        <w:autoSpaceDN w:val="0"/>
        <w:adjustRightInd w:val="0"/>
        <w:rPr>
          <w:rFonts w:ascii="Arial" w:hAnsi="Arial" w:cs="Arial"/>
          <w:b/>
          <w:bCs/>
          <w:lang w:eastAsia="en-GB"/>
        </w:rPr>
      </w:pPr>
      <w:r w:rsidRPr="00685DE7">
        <w:rPr>
          <w:rFonts w:ascii="Arial" w:hAnsi="Arial" w:cs="Arial"/>
          <w:b/>
          <w:bCs/>
          <w:lang w:eastAsia="en-GB"/>
        </w:rPr>
        <w:t>GENERAL DUTIES</w:t>
      </w:r>
    </w:p>
    <w:p w:rsidR="00F130A4" w:rsidRPr="00685DE7" w:rsidRDefault="00F130A4" w:rsidP="00F130A4">
      <w:pPr>
        <w:autoSpaceDE w:val="0"/>
        <w:autoSpaceDN w:val="0"/>
        <w:adjustRightInd w:val="0"/>
        <w:rPr>
          <w:rFonts w:ascii="Arial" w:hAnsi="Arial" w:cs="Arial"/>
          <w:b/>
          <w:bCs/>
          <w:lang w:eastAsia="en-GB"/>
        </w:rPr>
      </w:pPr>
    </w:p>
    <w:p w:rsidR="00F130A4" w:rsidRPr="00685DE7" w:rsidRDefault="00F130A4" w:rsidP="00F130A4">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rsidR="00F130A4" w:rsidRPr="00685DE7" w:rsidRDefault="00F130A4" w:rsidP="00F130A4">
      <w:pPr>
        <w:rPr>
          <w:rFonts w:ascii="Arial" w:hAnsi="Arial" w:cs="Arial"/>
        </w:rPr>
      </w:pPr>
      <w:r w:rsidRPr="00685DE7">
        <w:rPr>
          <w:rFonts w:ascii="Arial" w:hAnsi="Arial" w:cs="Arial"/>
        </w:rPr>
        <w:t xml:space="preserve">To fulfil the general and specific roles and responsibilities detailed in the </w:t>
      </w:r>
      <w:hyperlink r:id="rId13" w:history="1">
        <w:r w:rsidRPr="00685DE7">
          <w:rPr>
            <w:rStyle w:val="Hyperlink"/>
            <w:rFonts w:ascii="Arial" w:hAnsi="Arial" w:cs="Arial"/>
          </w:rPr>
          <w:t>Health and Safety Policy</w:t>
        </w:r>
      </w:hyperlink>
    </w:p>
    <w:p w:rsidR="00F130A4" w:rsidRPr="00685DE7" w:rsidRDefault="00F130A4" w:rsidP="00F130A4">
      <w:pPr>
        <w:ind w:left="720"/>
        <w:rPr>
          <w:rFonts w:ascii="Arial" w:hAnsi="Arial" w:cs="Arial"/>
          <w:b/>
        </w:rPr>
      </w:pPr>
    </w:p>
    <w:p w:rsidR="00F130A4" w:rsidRPr="00685DE7" w:rsidRDefault="00F130A4" w:rsidP="00F130A4">
      <w:pPr>
        <w:autoSpaceDE w:val="0"/>
        <w:autoSpaceDN w:val="0"/>
        <w:adjustRightInd w:val="0"/>
        <w:rPr>
          <w:rFonts w:ascii="Arial" w:hAnsi="Arial" w:cs="Arial"/>
          <w:b/>
          <w:lang w:eastAsia="en-GB"/>
        </w:rPr>
      </w:pPr>
      <w:r w:rsidRPr="00685DE7">
        <w:rPr>
          <w:rFonts w:ascii="Arial" w:hAnsi="Arial" w:cs="Arial"/>
          <w:b/>
          <w:lang w:eastAsia="en-GB"/>
        </w:rPr>
        <w:t>Equal Opportunities</w:t>
      </w:r>
    </w:p>
    <w:p w:rsidR="00F130A4" w:rsidRPr="00685DE7" w:rsidRDefault="00F130A4" w:rsidP="00F130A4">
      <w:pPr>
        <w:autoSpaceDE w:val="0"/>
        <w:autoSpaceDN w:val="0"/>
        <w:adjustRightInd w:val="0"/>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rsidR="00F130A4" w:rsidRPr="00685DE7" w:rsidRDefault="00F130A4" w:rsidP="00F130A4">
      <w:pPr>
        <w:autoSpaceDE w:val="0"/>
        <w:autoSpaceDN w:val="0"/>
        <w:adjustRightInd w:val="0"/>
        <w:rPr>
          <w:rFonts w:ascii="Arial" w:hAnsi="Arial" w:cs="Arial"/>
          <w:lang w:eastAsia="en-GB"/>
        </w:rPr>
      </w:pPr>
    </w:p>
    <w:p w:rsidR="00F130A4" w:rsidRPr="00F95F0D" w:rsidRDefault="00F130A4" w:rsidP="00F130A4">
      <w:pPr>
        <w:rPr>
          <w:rFonts w:ascii="Arial" w:hAnsi="Arial" w:cs="Arial"/>
          <w:b/>
          <w:bCs/>
        </w:rPr>
      </w:pPr>
      <w:r w:rsidRPr="00F95F0D">
        <w:rPr>
          <w:rFonts w:ascii="Arial" w:hAnsi="Arial" w:cs="Arial"/>
          <w:b/>
          <w:bCs/>
        </w:rPr>
        <w:t>Safeguarding</w:t>
      </w:r>
    </w:p>
    <w:p w:rsidR="00F130A4" w:rsidRPr="00CC28D7" w:rsidRDefault="00F130A4" w:rsidP="00F130A4">
      <w:pPr>
        <w:rPr>
          <w:rFonts w:ascii="Arial" w:hAnsi="Arial" w:cs="Arial"/>
        </w:rPr>
      </w:pPr>
      <w:r w:rsidRPr="00CC28D7">
        <w:rPr>
          <w:rFonts w:ascii="Arial" w:hAnsi="Arial" w:cs="Arial"/>
        </w:rPr>
        <w:t>Protecting children, young people or adults at risk is a core responsibility of all employees. Any concerns should be reported to the Adult Safeguarding Team or Children’s IAA Service within MASH.</w:t>
      </w:r>
    </w:p>
    <w:p w:rsidR="00F130A4" w:rsidRPr="00685DE7" w:rsidRDefault="00F130A4" w:rsidP="00F130A4">
      <w:pPr>
        <w:autoSpaceDE w:val="0"/>
        <w:autoSpaceDN w:val="0"/>
        <w:adjustRightInd w:val="0"/>
        <w:rPr>
          <w:rFonts w:ascii="Arial" w:hAnsi="Arial" w:cs="Arial"/>
          <w:lang w:eastAsia="en-GB"/>
        </w:rPr>
      </w:pPr>
    </w:p>
    <w:p w:rsidR="00F130A4" w:rsidRPr="00685DE7" w:rsidRDefault="00F130A4" w:rsidP="00F130A4">
      <w:pPr>
        <w:autoSpaceDE w:val="0"/>
        <w:autoSpaceDN w:val="0"/>
        <w:adjustRightInd w:val="0"/>
        <w:rPr>
          <w:rFonts w:ascii="Arial" w:hAnsi="Arial" w:cs="Arial"/>
          <w:b/>
          <w:bCs/>
          <w:lang w:eastAsia="en-GB"/>
        </w:rPr>
      </w:pPr>
      <w:r w:rsidRPr="00685DE7">
        <w:rPr>
          <w:rFonts w:ascii="Arial" w:hAnsi="Arial" w:cs="Arial"/>
          <w:b/>
          <w:bCs/>
          <w:lang w:eastAsia="en-GB"/>
        </w:rPr>
        <w:t>Review and Right to Vary</w:t>
      </w:r>
    </w:p>
    <w:p w:rsidR="00F130A4" w:rsidRPr="00685DE7" w:rsidRDefault="00F130A4" w:rsidP="00F130A4">
      <w:pPr>
        <w:autoSpaceDE w:val="0"/>
        <w:autoSpaceDN w:val="0"/>
        <w:adjustRightInd w:val="0"/>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rsidR="00F130A4" w:rsidRPr="00685DE7" w:rsidRDefault="00F130A4" w:rsidP="00F130A4">
      <w:pPr>
        <w:autoSpaceDE w:val="0"/>
        <w:autoSpaceDN w:val="0"/>
        <w:adjustRightInd w:val="0"/>
        <w:jc w:val="both"/>
        <w:rPr>
          <w:rFonts w:ascii="Arial" w:hAnsi="Arial" w:cs="Arial"/>
          <w:lang w:eastAsia="en-GB"/>
        </w:rPr>
      </w:pPr>
    </w:p>
    <w:p w:rsidR="00F130A4" w:rsidRPr="00685DE7" w:rsidRDefault="00F130A4" w:rsidP="00F130A4">
      <w:pPr>
        <w:pStyle w:val="Heading2"/>
        <w:jc w:val="both"/>
        <w:rPr>
          <w:i w:val="0"/>
          <w:caps/>
          <w:sz w:val="24"/>
          <w:szCs w:val="24"/>
        </w:rPr>
      </w:pPr>
      <w:r w:rsidRPr="00685DE7">
        <w:rPr>
          <w:i w:val="0"/>
          <w:caps/>
          <w:sz w:val="24"/>
          <w:szCs w:val="24"/>
        </w:rPr>
        <w:t>criminal records check</w:t>
      </w:r>
    </w:p>
    <w:p w:rsidR="00F130A4" w:rsidRPr="00685DE7" w:rsidRDefault="00F130A4" w:rsidP="00F130A4">
      <w:pPr>
        <w:ind w:right="-45"/>
        <w:jc w:val="both"/>
        <w:rPr>
          <w:rFonts w:ascii="Arial" w:hAnsi="Arial" w:cs="Arial"/>
        </w:rPr>
      </w:pPr>
      <w:r w:rsidRPr="00685DE7">
        <w:rPr>
          <w:rFonts w:ascii="Arial" w:hAnsi="Arial" w:cs="Arial"/>
        </w:rPr>
        <w:t>This post requires a criminal records check through the Disclosure &amp; Barring Service (DBS)</w:t>
      </w:r>
      <w:r>
        <w:rPr>
          <w:rFonts w:ascii="Arial" w:hAnsi="Arial" w:cs="Arial"/>
        </w:rPr>
        <w:t>.</w:t>
      </w:r>
    </w:p>
    <w:p w:rsidR="00F130A4" w:rsidRPr="00685DE7" w:rsidRDefault="00F130A4" w:rsidP="00F130A4">
      <w:pPr>
        <w:autoSpaceDE w:val="0"/>
        <w:autoSpaceDN w:val="0"/>
        <w:adjustRightInd w:val="0"/>
        <w:rPr>
          <w:rFonts w:ascii="Arial" w:hAnsi="Arial" w:cs="Arial"/>
          <w:lang w:eastAsia="en-GB"/>
        </w:rPr>
      </w:pPr>
    </w:p>
    <w:p w:rsidR="00F130A4" w:rsidRDefault="00F130A4" w:rsidP="00F130A4">
      <w:pPr>
        <w:pStyle w:val="Heading1"/>
        <w:tabs>
          <w:tab w:val="left" w:pos="300"/>
        </w:tabs>
        <w:spacing w:after="120"/>
        <w:rPr>
          <w:szCs w:val="32"/>
        </w:rPr>
      </w:pPr>
    </w:p>
    <w:p w:rsidR="00456B30" w:rsidRDefault="0081588B" w:rsidP="00456B30">
      <w:pPr>
        <w:pStyle w:val="Heading1"/>
        <w:spacing w:after="120"/>
        <w:jc w:val="center"/>
        <w:rPr>
          <w:sz w:val="28"/>
        </w:rPr>
      </w:pPr>
      <w:r w:rsidRPr="00F130A4">
        <w:br w:type="page"/>
      </w:r>
      <w:r w:rsidR="00456B30" w:rsidRPr="00685DE7">
        <w:rPr>
          <w:szCs w:val="32"/>
        </w:rPr>
        <w:lastRenderedPageBreak/>
        <w:t>P</w:t>
      </w:r>
      <w:r w:rsidR="00685DE7" w:rsidRPr="00685DE7">
        <w:rPr>
          <w:szCs w:val="32"/>
        </w:rPr>
        <w:t>erson Specification</w:t>
      </w:r>
    </w:p>
    <w:p w:rsidR="00456B30" w:rsidRPr="001D04A6" w:rsidRDefault="00B74224" w:rsidP="00456B30">
      <w:pPr>
        <w:spacing w:after="120"/>
        <w:jc w:val="center"/>
        <w:rPr>
          <w:rFonts w:ascii="Arial" w:hAnsi="Arial" w:cs="Arial"/>
          <w:b/>
          <w:sz w:val="28"/>
          <w:szCs w:val="28"/>
        </w:rPr>
      </w:pPr>
      <w:r>
        <w:rPr>
          <w:rFonts w:ascii="Arial" w:hAnsi="Arial" w:cs="Arial"/>
          <w:b/>
          <w:sz w:val="28"/>
          <w:szCs w:val="28"/>
        </w:rPr>
        <w:t>Community Safety Partnership Officer</w:t>
      </w:r>
    </w:p>
    <w:p w:rsidR="00456B30" w:rsidRDefault="00456B30" w:rsidP="00456B30">
      <w:pPr>
        <w:jc w:val="center"/>
        <w:rPr>
          <w:rFonts w:ascii="Arial" w:hAnsi="Arial" w:cs="Arial"/>
        </w:rPr>
      </w:pPr>
      <w:r>
        <w:rPr>
          <w:rFonts w:ascii="Arial" w:hAnsi="Arial" w:cs="Arial"/>
        </w:rPr>
        <w:t>The following attributes represent the range of skills, abilities and experiences etc</w:t>
      </w:r>
      <w:r w:rsidR="002E2837">
        <w:rPr>
          <w:rFonts w:ascii="Arial" w:hAnsi="Arial" w:cs="Arial"/>
        </w:rPr>
        <w:t>.</w:t>
      </w:r>
      <w:r>
        <w:rPr>
          <w:rFonts w:ascii="Arial" w:hAnsi="Arial" w:cs="Arial"/>
        </w:rPr>
        <w:t xml:space="preserve"> relevant to this position.  Applicants are expected to meet the attributes that have been identified as essential (√).</w:t>
      </w: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870"/>
        <w:gridCol w:w="3724"/>
        <w:gridCol w:w="1331"/>
        <w:gridCol w:w="1756"/>
      </w:tblGrid>
      <w:tr w:rsidR="00456B30" w:rsidRPr="00BC59CA" w:rsidTr="00C72C56">
        <w:trPr>
          <w:tblHeader/>
          <w:jc w:val="center"/>
        </w:trPr>
        <w:tc>
          <w:tcPr>
            <w:tcW w:w="1047" w:type="pct"/>
            <w:tcBorders>
              <w:top w:val="double" w:sz="4" w:space="0" w:color="auto"/>
              <w:left w:val="double" w:sz="4" w:space="0" w:color="auto"/>
              <w:bottom w:val="double" w:sz="4" w:space="0" w:color="auto"/>
              <w:right w:val="double" w:sz="4" w:space="0" w:color="auto"/>
            </w:tcBorders>
          </w:tcPr>
          <w:p w:rsidR="00456B30" w:rsidRPr="00BC59CA" w:rsidRDefault="00456B30" w:rsidP="00456B30">
            <w:pPr>
              <w:rPr>
                <w:rFonts w:ascii="Arial" w:hAnsi="Arial" w:cs="Arial"/>
                <w:b/>
              </w:rPr>
            </w:pPr>
          </w:p>
          <w:p w:rsidR="00456B30" w:rsidRPr="00BC59CA" w:rsidRDefault="00456B30" w:rsidP="00456B30">
            <w:pPr>
              <w:pStyle w:val="Heading6"/>
              <w:rPr>
                <w:rFonts w:cs="Arial"/>
                <w:szCs w:val="24"/>
              </w:rPr>
            </w:pPr>
            <w:r w:rsidRPr="00BC59CA">
              <w:rPr>
                <w:rFonts w:cs="Arial"/>
                <w:szCs w:val="24"/>
              </w:rPr>
              <w:t>Attributes</w:t>
            </w:r>
          </w:p>
          <w:p w:rsidR="00456B30" w:rsidRPr="00BC59CA" w:rsidRDefault="00456B30" w:rsidP="00456B30">
            <w:pPr>
              <w:rPr>
                <w:rFonts w:ascii="Arial" w:hAnsi="Arial" w:cs="Arial"/>
                <w:b/>
              </w:rPr>
            </w:pPr>
          </w:p>
        </w:tc>
        <w:tc>
          <w:tcPr>
            <w:tcW w:w="2155" w:type="pct"/>
            <w:tcBorders>
              <w:top w:val="double" w:sz="4" w:space="0" w:color="auto"/>
              <w:left w:val="double" w:sz="4" w:space="0" w:color="auto"/>
              <w:bottom w:val="double" w:sz="4" w:space="0" w:color="auto"/>
              <w:right w:val="double" w:sz="4" w:space="0" w:color="auto"/>
            </w:tcBorders>
          </w:tcPr>
          <w:p w:rsidR="00456B30" w:rsidRPr="00BC59CA" w:rsidRDefault="00456B30" w:rsidP="00456B30">
            <w:pPr>
              <w:jc w:val="center"/>
              <w:rPr>
                <w:rFonts w:ascii="Arial" w:hAnsi="Arial" w:cs="Arial"/>
                <w:b/>
              </w:rPr>
            </w:pPr>
          </w:p>
          <w:p w:rsidR="00456B30" w:rsidRPr="00BC59CA" w:rsidRDefault="00456B30" w:rsidP="00456B30">
            <w:pPr>
              <w:jc w:val="center"/>
              <w:rPr>
                <w:rFonts w:ascii="Arial" w:hAnsi="Arial" w:cs="Arial"/>
                <w:b/>
              </w:rPr>
            </w:pPr>
            <w:r>
              <w:rPr>
                <w:rFonts w:ascii="Arial" w:hAnsi="Arial" w:cs="Arial"/>
                <w:b/>
              </w:rPr>
              <w:t>Requirements</w:t>
            </w:r>
          </w:p>
        </w:tc>
        <w:tc>
          <w:tcPr>
            <w:tcW w:w="777" w:type="pct"/>
            <w:tcBorders>
              <w:top w:val="double" w:sz="4" w:space="0" w:color="auto"/>
              <w:left w:val="double" w:sz="4" w:space="0" w:color="auto"/>
              <w:bottom w:val="double" w:sz="4" w:space="0" w:color="auto"/>
              <w:right w:val="double" w:sz="4" w:space="0" w:color="auto"/>
            </w:tcBorders>
          </w:tcPr>
          <w:p w:rsidR="00456B30" w:rsidRDefault="00456B30" w:rsidP="00456B30">
            <w:pPr>
              <w:jc w:val="center"/>
              <w:rPr>
                <w:rFonts w:ascii="Arial" w:hAnsi="Arial" w:cs="Arial"/>
              </w:rPr>
            </w:pPr>
          </w:p>
          <w:p w:rsidR="00456B30" w:rsidRPr="00B46BAE" w:rsidRDefault="00456B30" w:rsidP="00456B30">
            <w:pPr>
              <w:jc w:val="center"/>
              <w:rPr>
                <w:rFonts w:ascii="Arial" w:hAnsi="Arial" w:cs="Arial"/>
                <w:b/>
              </w:rPr>
            </w:pPr>
            <w:r>
              <w:rPr>
                <w:rFonts w:ascii="Arial" w:hAnsi="Arial" w:cs="Arial"/>
                <w:b/>
              </w:rPr>
              <w:t>Essential</w:t>
            </w:r>
          </w:p>
          <w:p w:rsidR="00456B30" w:rsidRPr="00BC59CA" w:rsidRDefault="00456B30" w:rsidP="00456B30">
            <w:pPr>
              <w:jc w:val="center"/>
              <w:rPr>
                <w:rFonts w:ascii="Arial" w:hAnsi="Arial" w:cs="Arial"/>
                <w:b/>
              </w:rPr>
            </w:pPr>
          </w:p>
        </w:tc>
        <w:tc>
          <w:tcPr>
            <w:tcW w:w="1021" w:type="pct"/>
            <w:tcBorders>
              <w:top w:val="double" w:sz="4" w:space="0" w:color="auto"/>
              <w:left w:val="double" w:sz="4" w:space="0" w:color="auto"/>
              <w:bottom w:val="double" w:sz="4" w:space="0" w:color="auto"/>
              <w:right w:val="double" w:sz="4" w:space="0" w:color="auto"/>
            </w:tcBorders>
          </w:tcPr>
          <w:p w:rsidR="00456B30" w:rsidRPr="00BC59CA" w:rsidRDefault="00456B30" w:rsidP="00456B30">
            <w:pPr>
              <w:jc w:val="center"/>
              <w:rPr>
                <w:rFonts w:ascii="Arial" w:hAnsi="Arial" w:cs="Arial"/>
                <w:b/>
              </w:rPr>
            </w:pPr>
          </w:p>
          <w:p w:rsidR="00456B30" w:rsidRPr="00BC59CA" w:rsidRDefault="00456B30" w:rsidP="00456B30">
            <w:pPr>
              <w:jc w:val="center"/>
              <w:rPr>
                <w:rFonts w:ascii="Arial" w:hAnsi="Arial" w:cs="Arial"/>
                <w:b/>
              </w:rPr>
            </w:pPr>
            <w:r>
              <w:rPr>
                <w:rFonts w:ascii="Arial" w:hAnsi="Arial" w:cs="Arial"/>
                <w:b/>
              </w:rPr>
              <w:t>Method of Evaluation / Testing</w:t>
            </w:r>
          </w:p>
        </w:tc>
      </w:tr>
      <w:tr w:rsidR="0016748A" w:rsidRPr="00BC59CA" w:rsidTr="00C72C56">
        <w:trPr>
          <w:trHeight w:val="1431"/>
          <w:jc w:val="center"/>
        </w:trPr>
        <w:tc>
          <w:tcPr>
            <w:tcW w:w="1047" w:type="pct"/>
            <w:vMerge w:val="restart"/>
            <w:tcBorders>
              <w:top w:val="nil"/>
              <w:right w:val="single" w:sz="4" w:space="0" w:color="auto"/>
            </w:tcBorders>
          </w:tcPr>
          <w:p w:rsidR="0016748A" w:rsidRDefault="0016748A" w:rsidP="00456B30">
            <w:pPr>
              <w:rPr>
                <w:rFonts w:ascii="Arial" w:hAnsi="Arial" w:cs="Arial"/>
                <w:b/>
              </w:rPr>
            </w:pPr>
            <w:r w:rsidRPr="00BC59CA">
              <w:rPr>
                <w:rFonts w:ascii="Arial" w:hAnsi="Arial" w:cs="Arial"/>
                <w:b/>
              </w:rPr>
              <w:t>Qualifications</w:t>
            </w:r>
            <w:r>
              <w:rPr>
                <w:rFonts w:ascii="Arial" w:hAnsi="Arial" w:cs="Arial"/>
                <w:b/>
              </w:rPr>
              <w:t>, Education</w:t>
            </w:r>
            <w:r w:rsidRPr="00BC59CA">
              <w:rPr>
                <w:rFonts w:ascii="Arial" w:hAnsi="Arial" w:cs="Arial"/>
                <w:b/>
              </w:rPr>
              <w:t xml:space="preserve"> &amp; Training</w:t>
            </w:r>
          </w:p>
          <w:p w:rsidR="0016748A" w:rsidRPr="00BC59CA" w:rsidRDefault="0016748A" w:rsidP="00456B30">
            <w:pPr>
              <w:rPr>
                <w:rFonts w:ascii="Arial" w:hAnsi="Arial" w:cs="Arial"/>
                <w:b/>
              </w:rPr>
            </w:pPr>
          </w:p>
          <w:p w:rsidR="0016748A" w:rsidRPr="00BC59CA" w:rsidRDefault="0016748A" w:rsidP="00456B30">
            <w:pPr>
              <w:rPr>
                <w:rFonts w:ascii="Arial" w:hAnsi="Arial" w:cs="Arial"/>
                <w:b/>
              </w:rPr>
            </w:pPr>
          </w:p>
        </w:tc>
        <w:tc>
          <w:tcPr>
            <w:tcW w:w="2155" w:type="pct"/>
            <w:tcBorders>
              <w:top w:val="double" w:sz="4" w:space="0" w:color="auto"/>
              <w:left w:val="single" w:sz="4" w:space="0" w:color="auto"/>
              <w:bottom w:val="nil"/>
              <w:right w:val="single" w:sz="4" w:space="0" w:color="auto"/>
            </w:tcBorders>
          </w:tcPr>
          <w:p w:rsidR="0016748A" w:rsidRPr="00BE7601" w:rsidRDefault="0016748A" w:rsidP="0016748A">
            <w:pPr>
              <w:numPr>
                <w:ilvl w:val="0"/>
                <w:numId w:val="26"/>
              </w:numPr>
              <w:tabs>
                <w:tab w:val="left" w:pos="317"/>
              </w:tabs>
              <w:spacing w:after="120"/>
              <w:ind w:left="319" w:hanging="319"/>
              <w:rPr>
                <w:rFonts w:cs="Arial"/>
              </w:rPr>
            </w:pPr>
            <w:r>
              <w:rPr>
                <w:rFonts w:ascii="Arial" w:hAnsi="Arial" w:cs="Arial"/>
              </w:rPr>
              <w:t>Educated to degree</w:t>
            </w:r>
            <w:r w:rsidRPr="00CC1AC8">
              <w:rPr>
                <w:rFonts w:ascii="Arial" w:hAnsi="Arial" w:cs="Arial"/>
              </w:rPr>
              <w:t xml:space="preserve"> standard </w:t>
            </w:r>
            <w:r>
              <w:rPr>
                <w:rFonts w:ascii="Arial" w:hAnsi="Arial" w:cs="Arial"/>
              </w:rPr>
              <w:t>in a relevant discipline or an</w:t>
            </w:r>
            <w:r w:rsidRPr="00CC1AC8">
              <w:rPr>
                <w:rFonts w:ascii="Arial" w:hAnsi="Arial" w:cs="Arial"/>
              </w:rPr>
              <w:t xml:space="preserve"> ability to demonstrate competence through</w:t>
            </w:r>
            <w:r>
              <w:rPr>
                <w:rFonts w:ascii="Arial" w:hAnsi="Arial" w:cs="Arial"/>
              </w:rPr>
              <w:t xml:space="preserve"> relevant </w:t>
            </w:r>
            <w:r w:rsidRPr="00CC1AC8">
              <w:rPr>
                <w:rFonts w:ascii="Arial" w:hAnsi="Arial" w:cs="Arial"/>
              </w:rPr>
              <w:t>experience</w:t>
            </w:r>
            <w:r>
              <w:rPr>
                <w:rFonts w:ascii="Arial" w:hAnsi="Arial" w:cs="Arial"/>
              </w:rPr>
              <w:t>.</w:t>
            </w:r>
          </w:p>
        </w:tc>
        <w:tc>
          <w:tcPr>
            <w:tcW w:w="777" w:type="pct"/>
            <w:tcBorders>
              <w:top w:val="double" w:sz="4" w:space="0" w:color="auto"/>
              <w:left w:val="single" w:sz="4" w:space="0" w:color="auto"/>
              <w:bottom w:val="nil"/>
              <w:right w:val="single" w:sz="4" w:space="0" w:color="auto"/>
            </w:tcBorders>
          </w:tcPr>
          <w:p w:rsidR="0016748A" w:rsidRDefault="0016748A" w:rsidP="0016748A">
            <w:pPr>
              <w:spacing w:after="120"/>
              <w:jc w:val="center"/>
              <w:rPr>
                <w:rFonts w:ascii="Arial" w:hAnsi="Arial" w:cs="Arial"/>
              </w:rPr>
            </w:pPr>
            <w:r>
              <w:rPr>
                <w:rFonts w:ascii="Arial" w:hAnsi="Arial" w:cs="Arial"/>
              </w:rPr>
              <w:t>√</w:t>
            </w:r>
          </w:p>
          <w:p w:rsidR="0016748A" w:rsidRDefault="0016748A" w:rsidP="0016748A">
            <w:pPr>
              <w:spacing w:after="120"/>
              <w:jc w:val="center"/>
              <w:rPr>
                <w:rFonts w:ascii="Arial" w:hAnsi="Arial" w:cs="Arial"/>
              </w:rPr>
            </w:pPr>
          </w:p>
        </w:tc>
        <w:tc>
          <w:tcPr>
            <w:tcW w:w="1021" w:type="pct"/>
            <w:vMerge w:val="restart"/>
            <w:tcBorders>
              <w:top w:val="nil"/>
              <w:left w:val="single" w:sz="4" w:space="0" w:color="auto"/>
            </w:tcBorders>
          </w:tcPr>
          <w:p w:rsidR="0016748A" w:rsidRPr="00BC59CA" w:rsidRDefault="0016748A" w:rsidP="00456B30">
            <w:pPr>
              <w:spacing w:after="120"/>
              <w:rPr>
                <w:rFonts w:ascii="Arial" w:hAnsi="Arial" w:cs="Arial"/>
              </w:rPr>
            </w:pPr>
            <w:r>
              <w:rPr>
                <w:rFonts w:ascii="Arial" w:hAnsi="Arial" w:cs="Arial"/>
              </w:rPr>
              <w:t xml:space="preserve">Production of original Qualification Certificates and application form. </w:t>
            </w:r>
          </w:p>
        </w:tc>
      </w:tr>
      <w:tr w:rsidR="0016748A" w:rsidRPr="00BC59CA" w:rsidTr="0066357B">
        <w:trPr>
          <w:trHeight w:val="655"/>
          <w:jc w:val="center"/>
        </w:trPr>
        <w:tc>
          <w:tcPr>
            <w:tcW w:w="1047" w:type="pct"/>
            <w:vMerge/>
            <w:tcBorders>
              <w:right w:val="single" w:sz="4" w:space="0" w:color="auto"/>
            </w:tcBorders>
          </w:tcPr>
          <w:p w:rsidR="0016748A" w:rsidRPr="00BC59CA" w:rsidRDefault="0016748A" w:rsidP="00456B30">
            <w:pPr>
              <w:rPr>
                <w:rFonts w:ascii="Arial" w:hAnsi="Arial" w:cs="Arial"/>
              </w:rPr>
            </w:pPr>
          </w:p>
        </w:tc>
        <w:tc>
          <w:tcPr>
            <w:tcW w:w="2155" w:type="pct"/>
            <w:tcBorders>
              <w:top w:val="nil"/>
              <w:left w:val="single" w:sz="4" w:space="0" w:color="auto"/>
              <w:bottom w:val="single" w:sz="4" w:space="0" w:color="auto"/>
              <w:right w:val="single" w:sz="4" w:space="0" w:color="auto"/>
            </w:tcBorders>
          </w:tcPr>
          <w:p w:rsidR="0016748A" w:rsidRDefault="0016748A" w:rsidP="0016748A">
            <w:pPr>
              <w:tabs>
                <w:tab w:val="left" w:pos="317"/>
              </w:tabs>
              <w:spacing w:after="120"/>
              <w:ind w:left="720"/>
              <w:rPr>
                <w:rFonts w:ascii="Arial" w:hAnsi="Arial" w:cs="Arial"/>
              </w:rPr>
            </w:pPr>
          </w:p>
        </w:tc>
        <w:tc>
          <w:tcPr>
            <w:tcW w:w="777" w:type="pct"/>
            <w:tcBorders>
              <w:top w:val="nil"/>
              <w:left w:val="single" w:sz="4" w:space="0" w:color="auto"/>
              <w:bottom w:val="single" w:sz="4" w:space="0" w:color="auto"/>
              <w:right w:val="single" w:sz="4" w:space="0" w:color="auto"/>
            </w:tcBorders>
          </w:tcPr>
          <w:p w:rsidR="0016748A" w:rsidRDefault="0016748A" w:rsidP="00637FAA">
            <w:pPr>
              <w:spacing w:after="120"/>
              <w:jc w:val="center"/>
              <w:rPr>
                <w:rFonts w:ascii="Arial" w:hAnsi="Arial" w:cs="Arial"/>
              </w:rPr>
            </w:pPr>
          </w:p>
        </w:tc>
        <w:tc>
          <w:tcPr>
            <w:tcW w:w="1021" w:type="pct"/>
            <w:vMerge/>
            <w:tcBorders>
              <w:left w:val="single" w:sz="4" w:space="0" w:color="auto"/>
              <w:bottom w:val="single" w:sz="4" w:space="0" w:color="auto"/>
            </w:tcBorders>
          </w:tcPr>
          <w:p w:rsidR="0016748A" w:rsidRDefault="0016748A" w:rsidP="00456B30">
            <w:pPr>
              <w:spacing w:after="120"/>
              <w:rPr>
                <w:rFonts w:ascii="Arial" w:hAnsi="Arial" w:cs="Arial"/>
              </w:rPr>
            </w:pPr>
          </w:p>
        </w:tc>
      </w:tr>
      <w:tr w:rsidR="0016748A" w:rsidRPr="00BC59CA" w:rsidTr="0066357B">
        <w:trPr>
          <w:trHeight w:val="7265"/>
          <w:jc w:val="center"/>
        </w:trPr>
        <w:tc>
          <w:tcPr>
            <w:tcW w:w="1047" w:type="pct"/>
            <w:tcBorders>
              <w:right w:val="single" w:sz="4" w:space="0" w:color="auto"/>
            </w:tcBorders>
          </w:tcPr>
          <w:p w:rsidR="0016748A" w:rsidRPr="00BC59CA" w:rsidRDefault="0016748A" w:rsidP="00456B30">
            <w:pPr>
              <w:rPr>
                <w:rFonts w:ascii="Arial" w:hAnsi="Arial" w:cs="Arial"/>
                <w:b/>
              </w:rPr>
            </w:pPr>
            <w:r w:rsidRPr="00BC59CA">
              <w:rPr>
                <w:rFonts w:ascii="Arial" w:hAnsi="Arial" w:cs="Arial"/>
                <w:b/>
              </w:rPr>
              <w:t>Knowledge &amp; Experience</w:t>
            </w:r>
          </w:p>
        </w:tc>
        <w:tc>
          <w:tcPr>
            <w:tcW w:w="2155" w:type="pct"/>
            <w:tcBorders>
              <w:top w:val="single" w:sz="4" w:space="0" w:color="auto"/>
              <w:left w:val="single" w:sz="4" w:space="0" w:color="auto"/>
              <w:bottom w:val="single" w:sz="4" w:space="0" w:color="auto"/>
              <w:right w:val="single" w:sz="4" w:space="0" w:color="auto"/>
            </w:tcBorders>
          </w:tcPr>
          <w:p w:rsidR="0016748A" w:rsidRPr="00CB3EF9" w:rsidRDefault="0016748A" w:rsidP="0066357B">
            <w:pPr>
              <w:pStyle w:val="Header"/>
              <w:numPr>
                <w:ilvl w:val="0"/>
                <w:numId w:val="26"/>
              </w:numPr>
              <w:tabs>
                <w:tab w:val="clear" w:pos="4513"/>
                <w:tab w:val="center" w:pos="279"/>
              </w:tabs>
              <w:ind w:left="279" w:hanging="279"/>
              <w:rPr>
                <w:rFonts w:cs="Arial"/>
              </w:rPr>
            </w:pPr>
            <w:r w:rsidRPr="00CB3EF9">
              <w:rPr>
                <w:rFonts w:cs="Arial"/>
              </w:rPr>
              <w:t>Experience of community safety issues and relevant Legislation.</w:t>
            </w:r>
          </w:p>
          <w:p w:rsidR="0016748A" w:rsidRDefault="0016748A" w:rsidP="0016748A">
            <w:pPr>
              <w:pStyle w:val="Header"/>
              <w:ind w:hanging="720"/>
              <w:rPr>
                <w:rFonts w:cs="Arial"/>
              </w:rPr>
            </w:pPr>
          </w:p>
          <w:p w:rsidR="0016748A" w:rsidRDefault="0016748A" w:rsidP="0066357B">
            <w:pPr>
              <w:pStyle w:val="Header"/>
              <w:numPr>
                <w:ilvl w:val="0"/>
                <w:numId w:val="26"/>
              </w:numPr>
              <w:tabs>
                <w:tab w:val="clear" w:pos="4513"/>
                <w:tab w:val="center" w:pos="279"/>
              </w:tabs>
              <w:ind w:left="279" w:hanging="279"/>
              <w:rPr>
                <w:rFonts w:cs="Arial"/>
              </w:rPr>
            </w:pPr>
            <w:r w:rsidRPr="00CB3EF9">
              <w:rPr>
                <w:rFonts w:cs="Arial"/>
              </w:rPr>
              <w:t>Awareness of Statutory</w:t>
            </w:r>
            <w:r>
              <w:rPr>
                <w:rFonts w:cs="Arial"/>
              </w:rPr>
              <w:t xml:space="preserve"> Functions of Community Safety</w:t>
            </w:r>
          </w:p>
          <w:p w:rsidR="0016748A" w:rsidRDefault="0016748A" w:rsidP="0016748A">
            <w:pPr>
              <w:pStyle w:val="Header"/>
              <w:ind w:hanging="720"/>
              <w:rPr>
                <w:rFonts w:cs="Arial"/>
              </w:rPr>
            </w:pPr>
          </w:p>
          <w:p w:rsidR="0016748A" w:rsidRDefault="0016748A" w:rsidP="0066357B">
            <w:pPr>
              <w:pStyle w:val="Header"/>
              <w:numPr>
                <w:ilvl w:val="0"/>
                <w:numId w:val="26"/>
              </w:numPr>
              <w:tabs>
                <w:tab w:val="clear" w:pos="4513"/>
                <w:tab w:val="center" w:pos="279"/>
              </w:tabs>
              <w:ind w:left="279" w:hanging="279"/>
              <w:rPr>
                <w:rFonts w:cs="Arial"/>
              </w:rPr>
            </w:pPr>
            <w:r w:rsidRPr="00CB3EF9">
              <w:rPr>
                <w:rFonts w:cs="Arial"/>
              </w:rPr>
              <w:t xml:space="preserve">Experience of partnership working with internal and external partners, stakeholders, community level partnerships </w:t>
            </w:r>
          </w:p>
          <w:p w:rsidR="0016748A" w:rsidRPr="00CB3EF9" w:rsidRDefault="0016748A" w:rsidP="0016748A">
            <w:pPr>
              <w:pStyle w:val="Header"/>
              <w:ind w:hanging="720"/>
              <w:rPr>
                <w:rFonts w:cs="Arial"/>
              </w:rPr>
            </w:pPr>
          </w:p>
          <w:p w:rsidR="0016748A" w:rsidRDefault="0016748A" w:rsidP="0066357B">
            <w:pPr>
              <w:pStyle w:val="Header"/>
              <w:numPr>
                <w:ilvl w:val="0"/>
                <w:numId w:val="26"/>
              </w:numPr>
              <w:tabs>
                <w:tab w:val="clear" w:pos="4513"/>
                <w:tab w:val="center" w:pos="271"/>
              </w:tabs>
              <w:ind w:left="279" w:hanging="279"/>
              <w:rPr>
                <w:rFonts w:cs="Arial"/>
              </w:rPr>
            </w:pPr>
            <w:r w:rsidRPr="00CB3EF9">
              <w:rPr>
                <w:rFonts w:cs="Arial"/>
              </w:rPr>
              <w:t>Awareness of community safety issues and its impact on local communities and businesses.</w:t>
            </w:r>
          </w:p>
          <w:p w:rsidR="0016748A" w:rsidRDefault="0016748A" w:rsidP="0066357B">
            <w:pPr>
              <w:pStyle w:val="Header"/>
              <w:ind w:left="279" w:hanging="279"/>
              <w:rPr>
                <w:rFonts w:cs="Arial"/>
              </w:rPr>
            </w:pPr>
          </w:p>
          <w:p w:rsidR="0016748A" w:rsidRPr="003F28E6" w:rsidRDefault="0016748A" w:rsidP="0066357B">
            <w:pPr>
              <w:pStyle w:val="Header"/>
              <w:numPr>
                <w:ilvl w:val="0"/>
                <w:numId w:val="26"/>
              </w:numPr>
              <w:tabs>
                <w:tab w:val="clear" w:pos="4513"/>
                <w:tab w:val="center" w:pos="279"/>
              </w:tabs>
              <w:ind w:left="279" w:hanging="279"/>
              <w:rPr>
                <w:rFonts w:cs="Arial"/>
              </w:rPr>
            </w:pPr>
            <w:r w:rsidRPr="00BB7E40">
              <w:rPr>
                <w:rFonts w:cs="Arial"/>
              </w:rPr>
              <w:t>Experience of working with Police Officers in</w:t>
            </w:r>
            <w:r>
              <w:rPr>
                <w:rFonts w:cs="Arial"/>
              </w:rPr>
              <w:t xml:space="preserve"> relation to responding to anti-</w:t>
            </w:r>
            <w:r w:rsidRPr="00BB7E40">
              <w:rPr>
                <w:rFonts w:cs="Arial"/>
              </w:rPr>
              <w:t>social behaviour and day to day operational policing.</w:t>
            </w:r>
          </w:p>
          <w:p w:rsidR="0016748A" w:rsidRPr="003A2DE2" w:rsidRDefault="0016748A" w:rsidP="0016748A">
            <w:pPr>
              <w:ind w:hanging="720"/>
              <w:rPr>
                <w:rFonts w:ascii="Arial" w:hAnsi="Arial" w:cs="Arial"/>
              </w:rPr>
            </w:pPr>
          </w:p>
          <w:p w:rsidR="0016748A" w:rsidRPr="00200C5A" w:rsidRDefault="0016748A" w:rsidP="0066357B">
            <w:pPr>
              <w:pStyle w:val="Header"/>
              <w:numPr>
                <w:ilvl w:val="0"/>
                <w:numId w:val="26"/>
              </w:numPr>
              <w:tabs>
                <w:tab w:val="clear" w:pos="4513"/>
                <w:tab w:val="center" w:pos="279"/>
              </w:tabs>
              <w:ind w:left="279" w:hanging="279"/>
              <w:rPr>
                <w:rFonts w:cs="Arial"/>
              </w:rPr>
            </w:pPr>
            <w:r>
              <w:rPr>
                <w:rFonts w:cs="Arial"/>
              </w:rPr>
              <w:t>Experience of working closely with senior police managers; to achieve successful outcomes for service users.</w:t>
            </w:r>
          </w:p>
        </w:tc>
        <w:tc>
          <w:tcPr>
            <w:tcW w:w="777" w:type="pct"/>
            <w:tcBorders>
              <w:top w:val="single" w:sz="4" w:space="0" w:color="auto"/>
              <w:left w:val="single" w:sz="4" w:space="0" w:color="auto"/>
              <w:bottom w:val="single" w:sz="4" w:space="0" w:color="auto"/>
              <w:right w:val="single" w:sz="4" w:space="0" w:color="auto"/>
            </w:tcBorders>
          </w:tcPr>
          <w:p w:rsidR="0016748A" w:rsidRDefault="0016748A" w:rsidP="0016748A">
            <w:pPr>
              <w:tabs>
                <w:tab w:val="left" w:pos="388"/>
                <w:tab w:val="left" w:pos="530"/>
              </w:tabs>
              <w:spacing w:after="120"/>
              <w:jc w:val="center"/>
              <w:rPr>
                <w:rFonts w:ascii="Arial" w:hAnsi="Arial" w:cs="Arial"/>
              </w:rPr>
            </w:pPr>
            <w:r>
              <w:rPr>
                <w:rFonts w:ascii="Arial" w:hAnsi="Arial" w:cs="Arial"/>
              </w:rPr>
              <w:t>√</w:t>
            </w:r>
          </w:p>
          <w:p w:rsidR="0016748A" w:rsidRDefault="0016748A" w:rsidP="00D25A9B">
            <w:pPr>
              <w:tabs>
                <w:tab w:val="left" w:pos="388"/>
                <w:tab w:val="left" w:pos="530"/>
              </w:tabs>
              <w:spacing w:after="120"/>
              <w:rPr>
                <w:rFonts w:ascii="Arial" w:hAnsi="Arial" w:cs="Arial"/>
              </w:rPr>
            </w:pPr>
          </w:p>
          <w:p w:rsidR="0016748A" w:rsidRDefault="0016748A" w:rsidP="00D25A9B">
            <w:pPr>
              <w:tabs>
                <w:tab w:val="left" w:pos="388"/>
                <w:tab w:val="left" w:pos="530"/>
              </w:tabs>
              <w:spacing w:after="120"/>
              <w:rPr>
                <w:rFonts w:ascii="Arial" w:hAnsi="Arial" w:cs="Arial"/>
                <w:b/>
              </w:rPr>
            </w:pPr>
          </w:p>
          <w:p w:rsidR="0016748A" w:rsidRPr="0016748A" w:rsidRDefault="0016748A" w:rsidP="0016748A">
            <w:pPr>
              <w:tabs>
                <w:tab w:val="left" w:pos="388"/>
                <w:tab w:val="left" w:pos="530"/>
              </w:tabs>
              <w:spacing w:after="120"/>
              <w:jc w:val="center"/>
              <w:rPr>
                <w:rFonts w:ascii="Arial" w:hAnsi="Arial" w:cs="Arial"/>
                <w:b/>
              </w:rPr>
            </w:pPr>
            <w:r w:rsidRPr="0016748A">
              <w:rPr>
                <w:rFonts w:ascii="Arial" w:hAnsi="Arial" w:cs="Arial"/>
                <w:b/>
              </w:rPr>
              <w:t>√</w:t>
            </w:r>
          </w:p>
          <w:p w:rsidR="0016748A" w:rsidRDefault="0016748A" w:rsidP="00D25A9B">
            <w:pPr>
              <w:tabs>
                <w:tab w:val="left" w:pos="388"/>
                <w:tab w:val="left" w:pos="530"/>
              </w:tabs>
              <w:spacing w:after="120"/>
              <w:rPr>
                <w:rFonts w:ascii="Arial" w:hAnsi="Arial" w:cs="Arial"/>
              </w:rPr>
            </w:pPr>
          </w:p>
          <w:p w:rsidR="005E7AD1" w:rsidRDefault="005E7AD1" w:rsidP="0016748A">
            <w:pPr>
              <w:tabs>
                <w:tab w:val="left" w:pos="388"/>
                <w:tab w:val="left" w:pos="530"/>
              </w:tabs>
              <w:spacing w:after="120"/>
              <w:jc w:val="center"/>
              <w:rPr>
                <w:rFonts w:ascii="Arial" w:hAnsi="Arial" w:cs="Arial"/>
              </w:rPr>
            </w:pPr>
          </w:p>
          <w:p w:rsidR="0016748A" w:rsidRDefault="0016748A" w:rsidP="0016748A">
            <w:pPr>
              <w:tabs>
                <w:tab w:val="left" w:pos="388"/>
                <w:tab w:val="left" w:pos="530"/>
              </w:tabs>
              <w:spacing w:after="120"/>
              <w:jc w:val="center"/>
              <w:rPr>
                <w:rFonts w:ascii="Arial" w:hAnsi="Arial" w:cs="Arial"/>
              </w:rPr>
            </w:pPr>
            <w:r>
              <w:rPr>
                <w:rFonts w:ascii="Arial" w:hAnsi="Arial" w:cs="Arial"/>
              </w:rPr>
              <w:t>√</w:t>
            </w:r>
          </w:p>
        </w:tc>
        <w:tc>
          <w:tcPr>
            <w:tcW w:w="1021" w:type="pct"/>
            <w:tcBorders>
              <w:left w:val="single" w:sz="4" w:space="0" w:color="auto"/>
              <w:bottom w:val="single" w:sz="4" w:space="0" w:color="auto"/>
            </w:tcBorders>
          </w:tcPr>
          <w:p w:rsidR="0016748A" w:rsidRPr="00BC59CA" w:rsidRDefault="0016748A" w:rsidP="00637FAA">
            <w:pPr>
              <w:tabs>
                <w:tab w:val="left" w:pos="388"/>
                <w:tab w:val="left" w:pos="530"/>
              </w:tabs>
              <w:spacing w:after="120"/>
              <w:rPr>
                <w:rFonts w:ascii="Arial" w:hAnsi="Arial" w:cs="Arial"/>
              </w:rPr>
            </w:pPr>
            <w:r>
              <w:rPr>
                <w:rFonts w:ascii="Arial" w:hAnsi="Arial" w:cs="Arial"/>
              </w:rPr>
              <w:t xml:space="preserve">Interview, application form and selection process. </w:t>
            </w:r>
          </w:p>
        </w:tc>
      </w:tr>
    </w:tbl>
    <w:p w:rsidR="0066357B" w:rsidRDefault="0066357B">
      <w:r>
        <w:br w:type="page"/>
      </w: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817"/>
        <w:gridCol w:w="3742"/>
        <w:gridCol w:w="1349"/>
        <w:gridCol w:w="1773"/>
      </w:tblGrid>
      <w:tr w:rsidR="0066357B" w:rsidRPr="00BC59CA" w:rsidTr="00D25A9B">
        <w:trPr>
          <w:tblHeader/>
          <w:jc w:val="center"/>
        </w:trPr>
        <w:tc>
          <w:tcPr>
            <w:tcW w:w="1047" w:type="pct"/>
            <w:tcBorders>
              <w:top w:val="double" w:sz="4" w:space="0" w:color="auto"/>
              <w:left w:val="double" w:sz="4" w:space="0" w:color="auto"/>
              <w:bottom w:val="double" w:sz="4" w:space="0" w:color="auto"/>
              <w:right w:val="double" w:sz="4" w:space="0" w:color="auto"/>
            </w:tcBorders>
          </w:tcPr>
          <w:p w:rsidR="0066357B" w:rsidRPr="00BC59CA" w:rsidRDefault="0066357B" w:rsidP="00D25A9B">
            <w:pPr>
              <w:rPr>
                <w:rFonts w:ascii="Arial" w:hAnsi="Arial" w:cs="Arial"/>
                <w:b/>
              </w:rPr>
            </w:pPr>
          </w:p>
          <w:p w:rsidR="0066357B" w:rsidRPr="00BC59CA" w:rsidRDefault="0066357B" w:rsidP="00D25A9B">
            <w:pPr>
              <w:pStyle w:val="Heading6"/>
              <w:rPr>
                <w:rFonts w:cs="Arial"/>
                <w:szCs w:val="24"/>
              </w:rPr>
            </w:pPr>
            <w:r w:rsidRPr="00BC59CA">
              <w:rPr>
                <w:rFonts w:cs="Arial"/>
                <w:szCs w:val="24"/>
              </w:rPr>
              <w:t>Attributes</w:t>
            </w:r>
          </w:p>
          <w:p w:rsidR="0066357B" w:rsidRPr="00BC59CA" w:rsidRDefault="0066357B" w:rsidP="00D25A9B">
            <w:pPr>
              <w:rPr>
                <w:rFonts w:ascii="Arial" w:hAnsi="Arial" w:cs="Arial"/>
                <w:b/>
              </w:rPr>
            </w:pPr>
          </w:p>
        </w:tc>
        <w:tc>
          <w:tcPr>
            <w:tcW w:w="2155" w:type="pct"/>
            <w:tcBorders>
              <w:top w:val="double" w:sz="4" w:space="0" w:color="auto"/>
              <w:left w:val="double" w:sz="4" w:space="0" w:color="auto"/>
              <w:bottom w:val="double" w:sz="4" w:space="0" w:color="auto"/>
              <w:right w:val="double" w:sz="4" w:space="0" w:color="auto"/>
            </w:tcBorders>
          </w:tcPr>
          <w:p w:rsidR="0066357B" w:rsidRPr="00BC59CA" w:rsidRDefault="0066357B" w:rsidP="00D25A9B">
            <w:pPr>
              <w:jc w:val="center"/>
              <w:rPr>
                <w:rFonts w:ascii="Arial" w:hAnsi="Arial" w:cs="Arial"/>
                <w:b/>
              </w:rPr>
            </w:pPr>
          </w:p>
          <w:p w:rsidR="0066357B" w:rsidRPr="00BC59CA" w:rsidRDefault="0066357B" w:rsidP="00D25A9B">
            <w:pPr>
              <w:jc w:val="center"/>
              <w:rPr>
                <w:rFonts w:ascii="Arial" w:hAnsi="Arial" w:cs="Arial"/>
                <w:b/>
              </w:rPr>
            </w:pPr>
            <w:r>
              <w:rPr>
                <w:rFonts w:ascii="Arial" w:hAnsi="Arial" w:cs="Arial"/>
                <w:b/>
              </w:rPr>
              <w:t>Requirements</w:t>
            </w:r>
          </w:p>
        </w:tc>
        <w:tc>
          <w:tcPr>
            <w:tcW w:w="777" w:type="pct"/>
            <w:tcBorders>
              <w:top w:val="double" w:sz="4" w:space="0" w:color="auto"/>
              <w:left w:val="double" w:sz="4" w:space="0" w:color="auto"/>
              <w:bottom w:val="double" w:sz="4" w:space="0" w:color="auto"/>
              <w:right w:val="double" w:sz="4" w:space="0" w:color="auto"/>
            </w:tcBorders>
          </w:tcPr>
          <w:p w:rsidR="0066357B" w:rsidRDefault="0066357B" w:rsidP="00D25A9B">
            <w:pPr>
              <w:jc w:val="center"/>
              <w:rPr>
                <w:rFonts w:ascii="Arial" w:hAnsi="Arial" w:cs="Arial"/>
              </w:rPr>
            </w:pPr>
          </w:p>
          <w:p w:rsidR="0066357B" w:rsidRPr="00B46BAE" w:rsidRDefault="0066357B" w:rsidP="00D25A9B">
            <w:pPr>
              <w:jc w:val="center"/>
              <w:rPr>
                <w:rFonts w:ascii="Arial" w:hAnsi="Arial" w:cs="Arial"/>
                <w:b/>
              </w:rPr>
            </w:pPr>
            <w:r>
              <w:rPr>
                <w:rFonts w:ascii="Arial" w:hAnsi="Arial" w:cs="Arial"/>
                <w:b/>
              </w:rPr>
              <w:t>Essential</w:t>
            </w:r>
          </w:p>
          <w:p w:rsidR="0066357B" w:rsidRPr="00BC59CA" w:rsidRDefault="0066357B" w:rsidP="00D25A9B">
            <w:pPr>
              <w:jc w:val="center"/>
              <w:rPr>
                <w:rFonts w:ascii="Arial" w:hAnsi="Arial" w:cs="Arial"/>
                <w:b/>
              </w:rPr>
            </w:pPr>
          </w:p>
        </w:tc>
        <w:tc>
          <w:tcPr>
            <w:tcW w:w="1021" w:type="pct"/>
            <w:tcBorders>
              <w:top w:val="double" w:sz="4" w:space="0" w:color="auto"/>
              <w:left w:val="double" w:sz="4" w:space="0" w:color="auto"/>
              <w:bottom w:val="double" w:sz="4" w:space="0" w:color="auto"/>
              <w:right w:val="double" w:sz="4" w:space="0" w:color="auto"/>
            </w:tcBorders>
          </w:tcPr>
          <w:p w:rsidR="0066357B" w:rsidRPr="00BC59CA" w:rsidRDefault="0066357B" w:rsidP="00D25A9B">
            <w:pPr>
              <w:jc w:val="center"/>
              <w:rPr>
                <w:rFonts w:ascii="Arial" w:hAnsi="Arial" w:cs="Arial"/>
                <w:b/>
              </w:rPr>
            </w:pPr>
          </w:p>
          <w:p w:rsidR="0066357B" w:rsidRPr="00BC59CA" w:rsidRDefault="0066357B" w:rsidP="00D25A9B">
            <w:pPr>
              <w:jc w:val="center"/>
              <w:rPr>
                <w:rFonts w:ascii="Arial" w:hAnsi="Arial" w:cs="Arial"/>
                <w:b/>
              </w:rPr>
            </w:pPr>
            <w:r>
              <w:rPr>
                <w:rFonts w:ascii="Arial" w:hAnsi="Arial" w:cs="Arial"/>
                <w:b/>
              </w:rPr>
              <w:t>Method of Evaluation / Testing</w:t>
            </w:r>
          </w:p>
        </w:tc>
      </w:tr>
      <w:tr w:rsidR="0016748A" w:rsidRPr="00BC59CA" w:rsidTr="0066357B">
        <w:trPr>
          <w:jc w:val="center"/>
        </w:trPr>
        <w:tc>
          <w:tcPr>
            <w:tcW w:w="1047" w:type="pct"/>
            <w:tcBorders>
              <w:top w:val="single" w:sz="4" w:space="0" w:color="auto"/>
              <w:right w:val="single" w:sz="4" w:space="0" w:color="auto"/>
            </w:tcBorders>
          </w:tcPr>
          <w:p w:rsidR="0016748A" w:rsidRPr="00BC59CA" w:rsidRDefault="0016748A" w:rsidP="00456B30">
            <w:pPr>
              <w:rPr>
                <w:rFonts w:ascii="Arial" w:hAnsi="Arial" w:cs="Arial"/>
                <w:b/>
              </w:rPr>
            </w:pPr>
            <w:r w:rsidRPr="00BC59CA">
              <w:rPr>
                <w:rFonts w:ascii="Arial" w:hAnsi="Arial" w:cs="Arial"/>
                <w:b/>
              </w:rPr>
              <w:t>Skills &amp; Personal</w:t>
            </w:r>
          </w:p>
          <w:p w:rsidR="0016748A" w:rsidRDefault="0016748A" w:rsidP="00456B30">
            <w:pPr>
              <w:rPr>
                <w:rFonts w:ascii="Arial" w:hAnsi="Arial" w:cs="Arial"/>
                <w:b/>
              </w:rPr>
            </w:pPr>
            <w:r w:rsidRPr="00BC59CA">
              <w:rPr>
                <w:rFonts w:ascii="Arial" w:hAnsi="Arial" w:cs="Arial"/>
                <w:b/>
              </w:rPr>
              <w:t>Qualities</w:t>
            </w:r>
          </w:p>
          <w:p w:rsidR="0016748A" w:rsidRDefault="0016748A" w:rsidP="00456B30">
            <w:pPr>
              <w:rPr>
                <w:rFonts w:ascii="Arial" w:hAnsi="Arial" w:cs="Arial"/>
                <w:b/>
              </w:rPr>
            </w:pPr>
          </w:p>
          <w:p w:rsidR="0016748A" w:rsidRDefault="0016748A" w:rsidP="00456B30">
            <w:pPr>
              <w:rPr>
                <w:rFonts w:ascii="Arial" w:hAnsi="Arial" w:cs="Arial"/>
                <w:b/>
              </w:rPr>
            </w:pPr>
          </w:p>
          <w:p w:rsidR="0016748A" w:rsidRDefault="0016748A" w:rsidP="00456B30">
            <w:pPr>
              <w:rPr>
                <w:rFonts w:ascii="Arial" w:hAnsi="Arial" w:cs="Arial"/>
                <w:b/>
              </w:rPr>
            </w:pPr>
          </w:p>
          <w:p w:rsidR="0016748A" w:rsidRDefault="0016748A" w:rsidP="00456B30">
            <w:pPr>
              <w:rPr>
                <w:rFonts w:ascii="Arial" w:hAnsi="Arial" w:cs="Arial"/>
                <w:b/>
              </w:rPr>
            </w:pPr>
          </w:p>
          <w:p w:rsidR="0016748A" w:rsidRPr="00BC59CA" w:rsidRDefault="0016748A" w:rsidP="00456B30">
            <w:pPr>
              <w:rPr>
                <w:rFonts w:ascii="Arial" w:hAnsi="Arial" w:cs="Arial"/>
                <w:b/>
              </w:rPr>
            </w:pPr>
          </w:p>
        </w:tc>
        <w:tc>
          <w:tcPr>
            <w:tcW w:w="2155" w:type="pct"/>
            <w:tcBorders>
              <w:top w:val="single" w:sz="4" w:space="0" w:color="auto"/>
              <w:left w:val="single" w:sz="4" w:space="0" w:color="auto"/>
              <w:bottom w:val="single" w:sz="4" w:space="0" w:color="auto"/>
              <w:right w:val="single" w:sz="4" w:space="0" w:color="auto"/>
            </w:tcBorders>
          </w:tcPr>
          <w:p w:rsidR="0016748A" w:rsidRDefault="0016748A" w:rsidP="002573CF">
            <w:pPr>
              <w:numPr>
                <w:ilvl w:val="0"/>
                <w:numId w:val="28"/>
              </w:numPr>
              <w:ind w:left="461" w:hanging="461"/>
              <w:rPr>
                <w:rFonts w:ascii="Arial" w:hAnsi="Arial" w:cs="Arial"/>
              </w:rPr>
            </w:pPr>
            <w:r w:rsidRPr="00BF5EA7">
              <w:rPr>
                <w:rFonts w:ascii="Arial" w:hAnsi="Arial" w:cs="Arial"/>
              </w:rPr>
              <w:t>Ability to manage and prioritise own workload, and ability to work effectively as part of a team.</w:t>
            </w:r>
          </w:p>
          <w:p w:rsidR="0016748A" w:rsidRPr="00BF5EA7" w:rsidRDefault="0016748A" w:rsidP="002573CF">
            <w:pPr>
              <w:ind w:left="461" w:hanging="461"/>
              <w:rPr>
                <w:rFonts w:ascii="Arial" w:hAnsi="Arial" w:cs="Arial"/>
              </w:rPr>
            </w:pPr>
          </w:p>
          <w:p w:rsidR="0016748A" w:rsidRDefault="0016748A" w:rsidP="002573CF">
            <w:pPr>
              <w:numPr>
                <w:ilvl w:val="0"/>
                <w:numId w:val="27"/>
              </w:numPr>
              <w:ind w:left="461" w:hanging="461"/>
              <w:rPr>
                <w:rFonts w:ascii="Arial" w:hAnsi="Arial" w:cs="Arial"/>
              </w:rPr>
            </w:pPr>
            <w:r w:rsidRPr="00BF5EA7">
              <w:rPr>
                <w:rFonts w:ascii="Arial" w:hAnsi="Arial" w:cs="Arial"/>
              </w:rPr>
              <w:t>Excellent verbal communication and presentation skills.</w:t>
            </w:r>
          </w:p>
          <w:p w:rsidR="0016748A" w:rsidRPr="00BF5EA7" w:rsidRDefault="0016748A" w:rsidP="002573CF">
            <w:pPr>
              <w:ind w:left="461" w:hanging="461"/>
              <w:rPr>
                <w:rFonts w:ascii="Arial" w:hAnsi="Arial" w:cs="Arial"/>
              </w:rPr>
            </w:pPr>
          </w:p>
          <w:p w:rsidR="0016748A" w:rsidRDefault="0016748A" w:rsidP="002573CF">
            <w:pPr>
              <w:numPr>
                <w:ilvl w:val="0"/>
                <w:numId w:val="27"/>
              </w:numPr>
              <w:ind w:left="461" w:hanging="461"/>
              <w:rPr>
                <w:rFonts w:ascii="Arial" w:hAnsi="Arial" w:cs="Arial"/>
              </w:rPr>
            </w:pPr>
            <w:r w:rsidRPr="00BF5EA7">
              <w:rPr>
                <w:rFonts w:ascii="Arial" w:hAnsi="Arial" w:cs="Arial"/>
              </w:rPr>
              <w:t>Ability to translate complex legislation and case law into simple written language.</w:t>
            </w:r>
          </w:p>
          <w:p w:rsidR="0016748A" w:rsidRPr="00BF5EA7" w:rsidRDefault="0016748A" w:rsidP="002573CF">
            <w:pPr>
              <w:ind w:left="461" w:hanging="461"/>
              <w:rPr>
                <w:rFonts w:ascii="Arial" w:hAnsi="Arial" w:cs="Arial"/>
              </w:rPr>
            </w:pPr>
          </w:p>
          <w:p w:rsidR="0016748A" w:rsidRDefault="0016748A" w:rsidP="002573CF">
            <w:pPr>
              <w:numPr>
                <w:ilvl w:val="0"/>
                <w:numId w:val="27"/>
              </w:numPr>
              <w:ind w:left="461" w:hanging="461"/>
              <w:rPr>
                <w:rFonts w:ascii="Arial" w:hAnsi="Arial" w:cs="Arial"/>
              </w:rPr>
            </w:pPr>
            <w:r w:rsidRPr="00BF5EA7">
              <w:rPr>
                <w:rFonts w:ascii="Arial" w:hAnsi="Arial" w:cs="Arial"/>
              </w:rPr>
              <w:t>IT and keyboard skills - ability to use computer systems to input and extract data, produce letters, reports publications etc.</w:t>
            </w:r>
          </w:p>
          <w:p w:rsidR="0016748A" w:rsidRPr="00BF5EA7" w:rsidRDefault="0016748A" w:rsidP="002573CF">
            <w:pPr>
              <w:ind w:left="461" w:hanging="461"/>
              <w:rPr>
                <w:rFonts w:ascii="Arial" w:hAnsi="Arial" w:cs="Arial"/>
              </w:rPr>
            </w:pPr>
          </w:p>
          <w:p w:rsidR="0016748A" w:rsidRDefault="0016748A" w:rsidP="002573CF">
            <w:pPr>
              <w:numPr>
                <w:ilvl w:val="0"/>
                <w:numId w:val="27"/>
              </w:numPr>
              <w:ind w:left="461" w:hanging="461"/>
              <w:rPr>
                <w:rFonts w:ascii="Arial" w:hAnsi="Arial" w:cs="Arial"/>
              </w:rPr>
            </w:pPr>
            <w:r w:rsidRPr="00BF5EA7">
              <w:rPr>
                <w:rFonts w:ascii="Arial" w:hAnsi="Arial" w:cs="Arial"/>
              </w:rPr>
              <w:t>Well developed and wide ranging negotiating and problem solving skills.</w:t>
            </w:r>
          </w:p>
          <w:p w:rsidR="0016748A" w:rsidRPr="00BF5EA7" w:rsidRDefault="0016748A" w:rsidP="002573CF">
            <w:pPr>
              <w:ind w:left="461" w:hanging="461"/>
              <w:rPr>
                <w:rFonts w:ascii="Arial" w:hAnsi="Arial" w:cs="Arial"/>
              </w:rPr>
            </w:pPr>
          </w:p>
          <w:p w:rsidR="0016748A" w:rsidRPr="00BF5EA7" w:rsidRDefault="0016748A" w:rsidP="002573CF">
            <w:pPr>
              <w:numPr>
                <w:ilvl w:val="0"/>
                <w:numId w:val="27"/>
              </w:numPr>
              <w:ind w:left="461" w:hanging="461"/>
              <w:rPr>
                <w:rFonts w:ascii="Arial" w:hAnsi="Arial" w:cs="Arial"/>
              </w:rPr>
            </w:pPr>
            <w:r w:rsidRPr="00BF5EA7">
              <w:rPr>
                <w:rFonts w:ascii="Arial" w:hAnsi="Arial" w:cs="Arial"/>
              </w:rPr>
              <w:t>Good analytical skills and ability to produce, present and interpret statistical information.</w:t>
            </w:r>
          </w:p>
          <w:p w:rsidR="0016748A" w:rsidRDefault="0016748A" w:rsidP="002573CF">
            <w:pPr>
              <w:ind w:left="461" w:hanging="461"/>
              <w:rPr>
                <w:rFonts w:ascii="Arial" w:hAnsi="Arial" w:cs="Arial"/>
              </w:rPr>
            </w:pPr>
          </w:p>
          <w:p w:rsidR="0016748A" w:rsidRPr="00BF5EA7" w:rsidRDefault="0016748A" w:rsidP="002573CF">
            <w:pPr>
              <w:numPr>
                <w:ilvl w:val="0"/>
                <w:numId w:val="27"/>
              </w:numPr>
              <w:ind w:left="461" w:hanging="461"/>
              <w:rPr>
                <w:rFonts w:ascii="Arial" w:hAnsi="Arial" w:cs="Arial"/>
              </w:rPr>
            </w:pPr>
            <w:r w:rsidRPr="00BF5EA7">
              <w:rPr>
                <w:rFonts w:ascii="Arial" w:hAnsi="Arial" w:cs="Arial"/>
              </w:rPr>
              <w:t>Ability to operate successfully in a multidisciplinary and multifunctional environment.</w:t>
            </w:r>
          </w:p>
          <w:p w:rsidR="0016748A" w:rsidRDefault="0016748A" w:rsidP="002573CF">
            <w:pPr>
              <w:ind w:left="461" w:hanging="461"/>
              <w:rPr>
                <w:rFonts w:ascii="Arial" w:hAnsi="Arial" w:cs="Arial"/>
              </w:rPr>
            </w:pPr>
          </w:p>
          <w:p w:rsidR="0016748A" w:rsidRDefault="0016748A" w:rsidP="002573CF">
            <w:pPr>
              <w:numPr>
                <w:ilvl w:val="0"/>
                <w:numId w:val="27"/>
              </w:numPr>
              <w:ind w:left="461" w:hanging="461"/>
              <w:rPr>
                <w:rFonts w:ascii="Arial" w:hAnsi="Arial" w:cs="Arial"/>
              </w:rPr>
            </w:pPr>
            <w:r w:rsidRPr="00BF5EA7">
              <w:rPr>
                <w:rFonts w:ascii="Arial" w:hAnsi="Arial" w:cs="Arial"/>
              </w:rPr>
              <w:t>Keen interest in delivering and operating new and innovative approaches to Anti-Social Behaviour</w:t>
            </w:r>
            <w:r w:rsidR="0066357B">
              <w:rPr>
                <w:rFonts w:ascii="Arial" w:hAnsi="Arial" w:cs="Arial"/>
              </w:rPr>
              <w:t>.</w:t>
            </w:r>
          </w:p>
          <w:p w:rsidR="0016748A" w:rsidRDefault="0016748A" w:rsidP="0016748A">
            <w:pPr>
              <w:ind w:left="360"/>
              <w:rPr>
                <w:rFonts w:ascii="Arial" w:hAnsi="Arial" w:cs="Arial"/>
              </w:rPr>
            </w:pPr>
          </w:p>
          <w:p w:rsidR="0016748A" w:rsidRDefault="0016748A" w:rsidP="002573CF">
            <w:pPr>
              <w:numPr>
                <w:ilvl w:val="0"/>
                <w:numId w:val="27"/>
              </w:numPr>
              <w:ind w:left="461" w:hanging="426"/>
              <w:rPr>
                <w:rFonts w:ascii="Arial" w:hAnsi="Arial" w:cs="Arial"/>
              </w:rPr>
            </w:pPr>
            <w:r w:rsidRPr="00CC1AC8">
              <w:rPr>
                <w:rFonts w:ascii="Arial" w:hAnsi="Arial" w:cs="Arial"/>
              </w:rPr>
              <w:t xml:space="preserve">Ability to form constructive working relationships with </w:t>
            </w:r>
            <w:r>
              <w:rPr>
                <w:rFonts w:ascii="Arial" w:hAnsi="Arial" w:cs="Arial"/>
                <w:szCs w:val="22"/>
              </w:rPr>
              <w:t>senior managers</w:t>
            </w:r>
            <w:r w:rsidRPr="00802594">
              <w:rPr>
                <w:rFonts w:ascii="Arial" w:hAnsi="Arial" w:cs="Arial"/>
                <w:szCs w:val="22"/>
              </w:rPr>
              <w:t xml:space="preserve">, </w:t>
            </w:r>
            <w:r>
              <w:rPr>
                <w:rFonts w:ascii="Arial" w:hAnsi="Arial" w:cs="Arial"/>
              </w:rPr>
              <w:t>team leaders</w:t>
            </w:r>
            <w:r w:rsidRPr="00CC1AC8">
              <w:rPr>
                <w:rFonts w:ascii="Arial" w:hAnsi="Arial" w:cs="Arial"/>
              </w:rPr>
              <w:t xml:space="preserve"> </w:t>
            </w:r>
            <w:r>
              <w:rPr>
                <w:rFonts w:ascii="Arial" w:hAnsi="Arial" w:cs="Arial"/>
              </w:rPr>
              <w:t xml:space="preserve">within the local authority </w:t>
            </w:r>
            <w:r w:rsidRPr="00CC1AC8">
              <w:rPr>
                <w:rFonts w:ascii="Arial" w:hAnsi="Arial" w:cs="Arial"/>
              </w:rPr>
              <w:t>and wider partners</w:t>
            </w:r>
            <w:r>
              <w:rPr>
                <w:rFonts w:ascii="Arial" w:hAnsi="Arial" w:cs="Arial"/>
              </w:rPr>
              <w:t xml:space="preserve">. </w:t>
            </w:r>
          </w:p>
          <w:p w:rsidR="0016748A" w:rsidRDefault="0016748A" w:rsidP="0016748A">
            <w:pPr>
              <w:ind w:left="360"/>
              <w:rPr>
                <w:rFonts w:ascii="Arial" w:hAnsi="Arial" w:cs="Arial"/>
              </w:rPr>
            </w:pPr>
          </w:p>
          <w:p w:rsidR="0016748A" w:rsidRDefault="0066357B" w:rsidP="002573CF">
            <w:pPr>
              <w:numPr>
                <w:ilvl w:val="0"/>
                <w:numId w:val="27"/>
              </w:numPr>
              <w:ind w:left="461" w:hanging="426"/>
              <w:rPr>
                <w:rFonts w:ascii="Arial" w:hAnsi="Arial" w:cs="Arial"/>
              </w:rPr>
            </w:pPr>
            <w:r>
              <w:rPr>
                <w:rFonts w:ascii="Arial" w:hAnsi="Arial" w:cs="Arial"/>
              </w:rPr>
              <w:t>A</w:t>
            </w:r>
            <w:r w:rsidR="0016748A" w:rsidRPr="009E049C">
              <w:rPr>
                <w:rFonts w:ascii="Arial" w:hAnsi="Arial" w:cs="Arial"/>
              </w:rPr>
              <w:t>bility to manage sensitive and complex issues.</w:t>
            </w:r>
          </w:p>
          <w:p w:rsidR="0066357B" w:rsidRDefault="0066357B" w:rsidP="002573CF">
            <w:pPr>
              <w:numPr>
                <w:ilvl w:val="0"/>
                <w:numId w:val="27"/>
              </w:numPr>
              <w:ind w:left="461" w:hanging="426"/>
              <w:rPr>
                <w:rFonts w:ascii="Arial" w:hAnsi="Arial" w:cs="Arial"/>
              </w:rPr>
            </w:pPr>
            <w:r>
              <w:rPr>
                <w:rFonts w:ascii="Arial" w:hAnsi="Arial" w:cs="Arial"/>
              </w:rPr>
              <w:lastRenderedPageBreak/>
              <w:t>Ability to work flexibly, working evening</w:t>
            </w:r>
            <w:r w:rsidR="004F3D10">
              <w:rPr>
                <w:rFonts w:ascii="Arial" w:hAnsi="Arial" w:cs="Arial"/>
              </w:rPr>
              <w:t>s</w:t>
            </w:r>
            <w:r>
              <w:rPr>
                <w:rFonts w:ascii="Arial" w:hAnsi="Arial" w:cs="Arial"/>
              </w:rPr>
              <w:t xml:space="preserve"> and at weekends </w:t>
            </w:r>
            <w:r w:rsidR="00B74224">
              <w:rPr>
                <w:rFonts w:ascii="Arial" w:hAnsi="Arial" w:cs="Arial"/>
              </w:rPr>
              <w:t xml:space="preserve">as necessary </w:t>
            </w:r>
            <w:r>
              <w:rPr>
                <w:rFonts w:ascii="Arial" w:hAnsi="Arial" w:cs="Arial"/>
              </w:rPr>
              <w:t xml:space="preserve">in order to meet the </w:t>
            </w:r>
            <w:r w:rsidR="00B74224">
              <w:rPr>
                <w:rFonts w:ascii="Arial" w:hAnsi="Arial" w:cs="Arial"/>
              </w:rPr>
              <w:t>demands</w:t>
            </w:r>
            <w:r>
              <w:rPr>
                <w:rFonts w:ascii="Arial" w:hAnsi="Arial" w:cs="Arial"/>
              </w:rPr>
              <w:t xml:space="preserve"> of the service. </w:t>
            </w:r>
          </w:p>
          <w:p w:rsidR="0016748A" w:rsidRPr="009E049C" w:rsidRDefault="0016748A" w:rsidP="002573CF">
            <w:pPr>
              <w:ind w:left="461" w:hanging="426"/>
              <w:rPr>
                <w:rFonts w:ascii="Arial" w:hAnsi="Arial" w:cs="Arial"/>
              </w:rPr>
            </w:pPr>
          </w:p>
          <w:p w:rsidR="0016748A" w:rsidRDefault="0016748A" w:rsidP="002573CF">
            <w:pPr>
              <w:numPr>
                <w:ilvl w:val="0"/>
                <w:numId w:val="27"/>
              </w:numPr>
              <w:spacing w:after="120"/>
              <w:ind w:left="461" w:hanging="426"/>
              <w:rPr>
                <w:rFonts w:ascii="Arial" w:hAnsi="Arial" w:cs="Arial"/>
              </w:rPr>
            </w:pPr>
            <w:r w:rsidRPr="00833DF5">
              <w:rPr>
                <w:rFonts w:ascii="Arial" w:hAnsi="Arial" w:cs="Arial"/>
              </w:rPr>
              <w:t xml:space="preserve">Self-motivated and able to develop new ideas.  </w:t>
            </w:r>
          </w:p>
          <w:p w:rsidR="007821A5" w:rsidRDefault="00B74224" w:rsidP="002573CF">
            <w:pPr>
              <w:numPr>
                <w:ilvl w:val="0"/>
                <w:numId w:val="27"/>
              </w:numPr>
              <w:spacing w:after="120"/>
              <w:ind w:left="461" w:hanging="426"/>
              <w:rPr>
                <w:rFonts w:ascii="Arial" w:hAnsi="Arial" w:cs="Arial"/>
              </w:rPr>
            </w:pPr>
            <w:r>
              <w:rPr>
                <w:rFonts w:ascii="Arial" w:hAnsi="Arial" w:cs="Arial"/>
              </w:rPr>
              <w:t xml:space="preserve">Ability to communicate through the medium of </w:t>
            </w:r>
            <w:r w:rsidR="00F130A4">
              <w:rPr>
                <w:rFonts w:ascii="Arial" w:hAnsi="Arial" w:cs="Arial"/>
              </w:rPr>
              <w:t>W</w:t>
            </w:r>
            <w:r>
              <w:rPr>
                <w:rFonts w:ascii="Arial" w:hAnsi="Arial" w:cs="Arial"/>
              </w:rPr>
              <w:t>elsh.</w:t>
            </w:r>
          </w:p>
          <w:p w:rsidR="0016748A" w:rsidRPr="00384592" w:rsidRDefault="0016748A" w:rsidP="0016748A">
            <w:pPr>
              <w:rPr>
                <w:rFonts w:ascii="Arial" w:hAnsi="Arial" w:cs="Arial"/>
              </w:rPr>
            </w:pPr>
          </w:p>
        </w:tc>
        <w:tc>
          <w:tcPr>
            <w:tcW w:w="777" w:type="pct"/>
            <w:tcBorders>
              <w:top w:val="single" w:sz="4" w:space="0" w:color="auto"/>
              <w:left w:val="single" w:sz="4" w:space="0" w:color="auto"/>
              <w:bottom w:val="single" w:sz="4" w:space="0" w:color="auto"/>
              <w:right w:val="single" w:sz="4" w:space="0" w:color="auto"/>
            </w:tcBorders>
          </w:tcPr>
          <w:p w:rsidR="0066357B" w:rsidRDefault="0066357B" w:rsidP="0066357B">
            <w:pPr>
              <w:tabs>
                <w:tab w:val="left" w:pos="388"/>
                <w:tab w:val="left" w:pos="530"/>
              </w:tabs>
              <w:spacing w:after="120"/>
              <w:jc w:val="center"/>
              <w:rPr>
                <w:rFonts w:ascii="Arial" w:hAnsi="Arial" w:cs="Arial"/>
              </w:rPr>
            </w:pPr>
            <w:r>
              <w:rPr>
                <w:rFonts w:ascii="Arial" w:hAnsi="Arial" w:cs="Arial"/>
              </w:rPr>
              <w:lastRenderedPageBreak/>
              <w:t>√</w:t>
            </w: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p>
          <w:p w:rsidR="00B74224" w:rsidRDefault="00B74224" w:rsidP="00B74224">
            <w:pPr>
              <w:tabs>
                <w:tab w:val="left" w:pos="388"/>
                <w:tab w:val="left" w:pos="530"/>
              </w:tabs>
              <w:spacing w:after="120"/>
              <w:jc w:val="center"/>
              <w:rPr>
                <w:rFonts w:ascii="Arial" w:hAnsi="Arial" w:cs="Arial"/>
              </w:rPr>
            </w:pPr>
            <w:r>
              <w:rPr>
                <w:rFonts w:ascii="Arial" w:hAnsi="Arial" w:cs="Arial"/>
              </w:rPr>
              <w:lastRenderedPageBreak/>
              <w:t>√</w:t>
            </w:r>
          </w:p>
          <w:p w:rsidR="0016748A" w:rsidRDefault="0016748A" w:rsidP="00637FAA">
            <w:pPr>
              <w:tabs>
                <w:tab w:val="left" w:pos="388"/>
                <w:tab w:val="left" w:pos="530"/>
              </w:tabs>
              <w:spacing w:after="120"/>
              <w:jc w:val="center"/>
              <w:rPr>
                <w:rFonts w:ascii="Arial" w:hAnsi="Arial" w:cs="Arial"/>
              </w:rPr>
            </w:pPr>
          </w:p>
        </w:tc>
        <w:tc>
          <w:tcPr>
            <w:tcW w:w="1021" w:type="pct"/>
            <w:tcBorders>
              <w:top w:val="single" w:sz="4" w:space="0" w:color="auto"/>
              <w:left w:val="single" w:sz="4" w:space="0" w:color="auto"/>
              <w:bottom w:val="single" w:sz="4" w:space="0" w:color="auto"/>
            </w:tcBorders>
          </w:tcPr>
          <w:p w:rsidR="0016748A" w:rsidRDefault="0016748A" w:rsidP="00456B30">
            <w:pPr>
              <w:tabs>
                <w:tab w:val="left" w:pos="388"/>
                <w:tab w:val="left" w:pos="530"/>
              </w:tabs>
              <w:spacing w:after="120"/>
              <w:rPr>
                <w:rFonts w:ascii="Arial" w:hAnsi="Arial" w:cs="Arial"/>
              </w:rPr>
            </w:pPr>
            <w:r>
              <w:rPr>
                <w:rFonts w:ascii="Arial" w:hAnsi="Arial" w:cs="Arial"/>
              </w:rPr>
              <w:lastRenderedPageBreak/>
              <w:t xml:space="preserve">Interview, application form, and selection process. </w:t>
            </w:r>
          </w:p>
          <w:p w:rsidR="0016748A" w:rsidRDefault="0016748A" w:rsidP="00456B30">
            <w:pPr>
              <w:spacing w:after="120"/>
              <w:rPr>
                <w:rFonts w:ascii="Arial" w:hAnsi="Arial" w:cs="Arial"/>
              </w:rPr>
            </w:pPr>
          </w:p>
          <w:p w:rsidR="0016748A" w:rsidRDefault="0016748A" w:rsidP="00456B30">
            <w:pPr>
              <w:spacing w:after="120"/>
              <w:rPr>
                <w:rFonts w:ascii="Arial" w:hAnsi="Arial" w:cs="Arial"/>
              </w:rPr>
            </w:pPr>
          </w:p>
          <w:p w:rsidR="0016748A" w:rsidRPr="00BC59CA" w:rsidRDefault="0016748A" w:rsidP="00456B30">
            <w:pPr>
              <w:spacing w:after="120"/>
              <w:rPr>
                <w:rFonts w:ascii="Arial" w:hAnsi="Arial" w:cs="Arial"/>
              </w:rPr>
            </w:pPr>
          </w:p>
        </w:tc>
      </w:tr>
    </w:tbl>
    <w:p w:rsidR="00456B30" w:rsidRPr="004F4E65" w:rsidRDefault="00456B30" w:rsidP="00456B30">
      <w:pPr>
        <w:rPr>
          <w:rFonts w:ascii="Arial" w:hAnsi="Arial" w:cs="Arial"/>
          <w:b/>
          <w:color w:val="000000"/>
        </w:rPr>
      </w:pPr>
    </w:p>
    <w:sectPr w:rsidR="00456B30" w:rsidRPr="004F4E65" w:rsidSect="0016748A">
      <w:headerReference w:type="default" r:id="rId14"/>
      <w:footerReference w:type="even" r:id="rId15"/>
      <w:headerReference w:type="first" r:id="rId16"/>
      <w:pgSz w:w="11906" w:h="16838"/>
      <w:pgMar w:top="567" w:right="1797" w:bottom="56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C6" w:rsidRDefault="009D1BC6">
      <w:r>
        <w:separator/>
      </w:r>
    </w:p>
  </w:endnote>
  <w:endnote w:type="continuationSeparator" w:id="0">
    <w:p w:rsidR="009D1BC6" w:rsidRDefault="009D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456B30"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B30" w:rsidRDefault="004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C6" w:rsidRDefault="009D1BC6">
      <w:r>
        <w:separator/>
      </w:r>
    </w:p>
  </w:footnote>
  <w:footnote w:type="continuationSeparator" w:id="0">
    <w:p w:rsidR="009D1BC6" w:rsidRDefault="009D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81588B">
    <w:pPr>
      <w:pStyle w:val="Header"/>
    </w:pPr>
    <w:r>
      <w:rPr>
        <w:rFonts w:ascii="Arial" w:hAnsi="Arial" w:cs="Arial"/>
        <w:b/>
        <w:noProof/>
        <w:color w:val="000000"/>
        <w:lang w:eastAsia="en-GB"/>
      </w:rPr>
      <w:drawing>
        <wp:inline distT="0" distB="0" distL="0" distR="0">
          <wp:extent cx="5276850" cy="914400"/>
          <wp:effectExtent l="0" t="0" r="0" b="0"/>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30" w:rsidRDefault="0081588B">
    <w:pPr>
      <w:pStyle w:val="Header"/>
    </w:pPr>
    <w:r>
      <w:rPr>
        <w:rFonts w:ascii="Arial" w:hAnsi="Arial" w:cs="Arial"/>
        <w:b/>
        <w:noProof/>
        <w:color w:val="000000"/>
        <w:lang w:eastAsia="en-GB"/>
      </w:rPr>
      <w:drawing>
        <wp:inline distT="0" distB="0" distL="0" distR="0">
          <wp:extent cx="5276850" cy="914400"/>
          <wp:effectExtent l="0" t="0" r="0" b="0"/>
          <wp:docPr id="2" name="Picture 2"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p w:rsidR="00456B30" w:rsidRDefault="0045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CD1"/>
    <w:multiLevelType w:val="hybridMultilevel"/>
    <w:tmpl w:val="8B2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C32CD"/>
    <w:multiLevelType w:val="hybridMultilevel"/>
    <w:tmpl w:val="9F7A797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15062"/>
    <w:multiLevelType w:val="hybridMultilevel"/>
    <w:tmpl w:val="EC6A34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A747D9"/>
    <w:multiLevelType w:val="hybridMultilevel"/>
    <w:tmpl w:val="0238655E"/>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6"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F235CC"/>
    <w:multiLevelType w:val="hybridMultilevel"/>
    <w:tmpl w:val="08AC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25DC9"/>
    <w:multiLevelType w:val="hybridMultilevel"/>
    <w:tmpl w:val="ABEAA68E"/>
    <w:lvl w:ilvl="0" w:tplc="27067CD0">
      <w:start w:val="1"/>
      <w:numFmt w:val="bullet"/>
      <w:lvlText w:val=""/>
      <w:lvlJc w:val="left"/>
      <w:pPr>
        <w:tabs>
          <w:tab w:val="num" w:pos="360"/>
        </w:tabs>
        <w:ind w:left="360" w:hanging="360"/>
      </w:pPr>
      <w:rPr>
        <w:rFonts w:ascii="Symbol" w:hAnsi="Symbol" w:hint="default"/>
        <w:b w:val="0"/>
        <w:i w:val="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4"/>
  </w:num>
  <w:num w:numId="12">
    <w:abstractNumId w:val="13"/>
  </w:num>
  <w:num w:numId="13">
    <w:abstractNumId w:val="4"/>
  </w:num>
  <w:num w:numId="14">
    <w:abstractNumId w:val="11"/>
  </w:num>
  <w:num w:numId="15">
    <w:abstractNumId w:val="15"/>
  </w:num>
  <w:num w:numId="16">
    <w:abstractNumId w:val="13"/>
  </w:num>
  <w:num w:numId="17">
    <w:abstractNumId w:val="1"/>
  </w:num>
  <w:num w:numId="18">
    <w:abstractNumId w:val="7"/>
  </w:num>
  <w:num w:numId="19">
    <w:abstractNumId w:val="2"/>
  </w:num>
  <w:num w:numId="20">
    <w:abstractNumId w:val="9"/>
  </w:num>
  <w:num w:numId="21">
    <w:abstractNumId w:val="12"/>
  </w:num>
  <w:num w:numId="22">
    <w:abstractNumId w:val="14"/>
  </w:num>
  <w:num w:numId="23">
    <w:abstractNumId w:val="8"/>
  </w:num>
  <w:num w:numId="24">
    <w:abstractNumId w:val="6"/>
  </w:num>
  <w:num w:numId="25">
    <w:abstractNumId w:val="3"/>
  </w:num>
  <w:num w:numId="26">
    <w:abstractNumId w:val="10"/>
  </w:num>
  <w:num w:numId="27">
    <w:abstractNumId w:val="0"/>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DA"/>
    <w:rsid w:val="000007BE"/>
    <w:rsid w:val="00003C40"/>
    <w:rsid w:val="00013F8F"/>
    <w:rsid w:val="00014253"/>
    <w:rsid w:val="00014A86"/>
    <w:rsid w:val="000167B1"/>
    <w:rsid w:val="000178F3"/>
    <w:rsid w:val="0002015F"/>
    <w:rsid w:val="00026514"/>
    <w:rsid w:val="0009322F"/>
    <w:rsid w:val="000B2885"/>
    <w:rsid w:val="000D384D"/>
    <w:rsid w:val="000E3391"/>
    <w:rsid w:val="000F5752"/>
    <w:rsid w:val="00132BE4"/>
    <w:rsid w:val="00143BD9"/>
    <w:rsid w:val="0016748A"/>
    <w:rsid w:val="001B5131"/>
    <w:rsid w:val="001B6283"/>
    <w:rsid w:val="001E03E4"/>
    <w:rsid w:val="002060BF"/>
    <w:rsid w:val="00223A2D"/>
    <w:rsid w:val="00223AD8"/>
    <w:rsid w:val="00254042"/>
    <w:rsid w:val="002573CF"/>
    <w:rsid w:val="00267AFF"/>
    <w:rsid w:val="002A5B75"/>
    <w:rsid w:val="002A663A"/>
    <w:rsid w:val="002B062D"/>
    <w:rsid w:val="002B6A53"/>
    <w:rsid w:val="002B7961"/>
    <w:rsid w:val="002D17B3"/>
    <w:rsid w:val="002E2837"/>
    <w:rsid w:val="002E7FC7"/>
    <w:rsid w:val="002F64A6"/>
    <w:rsid w:val="00304A6B"/>
    <w:rsid w:val="00332FDF"/>
    <w:rsid w:val="003411DA"/>
    <w:rsid w:val="00347E63"/>
    <w:rsid w:val="00360C29"/>
    <w:rsid w:val="0036280B"/>
    <w:rsid w:val="00375BCF"/>
    <w:rsid w:val="003929CC"/>
    <w:rsid w:val="003A0FC4"/>
    <w:rsid w:val="003C02C3"/>
    <w:rsid w:val="003D098F"/>
    <w:rsid w:val="003D2AAA"/>
    <w:rsid w:val="003E1C6E"/>
    <w:rsid w:val="003E52E5"/>
    <w:rsid w:val="00404C44"/>
    <w:rsid w:val="00434DEB"/>
    <w:rsid w:val="00452D73"/>
    <w:rsid w:val="00456B30"/>
    <w:rsid w:val="00486C4C"/>
    <w:rsid w:val="00490994"/>
    <w:rsid w:val="00496337"/>
    <w:rsid w:val="004C03C0"/>
    <w:rsid w:val="004D3638"/>
    <w:rsid w:val="004F3D10"/>
    <w:rsid w:val="004F4E65"/>
    <w:rsid w:val="00505FBA"/>
    <w:rsid w:val="005116CC"/>
    <w:rsid w:val="00511B1E"/>
    <w:rsid w:val="00523671"/>
    <w:rsid w:val="0052653C"/>
    <w:rsid w:val="00563D25"/>
    <w:rsid w:val="00574A3A"/>
    <w:rsid w:val="00590AE0"/>
    <w:rsid w:val="005B2FBD"/>
    <w:rsid w:val="005C0894"/>
    <w:rsid w:val="005E5F84"/>
    <w:rsid w:val="005E7AD1"/>
    <w:rsid w:val="0060395E"/>
    <w:rsid w:val="00620140"/>
    <w:rsid w:val="00637FAA"/>
    <w:rsid w:val="0065488A"/>
    <w:rsid w:val="00655D5C"/>
    <w:rsid w:val="006605BB"/>
    <w:rsid w:val="0066357B"/>
    <w:rsid w:val="00685DE7"/>
    <w:rsid w:val="00690072"/>
    <w:rsid w:val="006B45D2"/>
    <w:rsid w:val="006C0366"/>
    <w:rsid w:val="006C74DB"/>
    <w:rsid w:val="006D6613"/>
    <w:rsid w:val="006E19E1"/>
    <w:rsid w:val="006E571B"/>
    <w:rsid w:val="007045EA"/>
    <w:rsid w:val="00705FAA"/>
    <w:rsid w:val="0072502F"/>
    <w:rsid w:val="00740C87"/>
    <w:rsid w:val="007519FD"/>
    <w:rsid w:val="00753026"/>
    <w:rsid w:val="00760C64"/>
    <w:rsid w:val="00765635"/>
    <w:rsid w:val="007663FA"/>
    <w:rsid w:val="007720F8"/>
    <w:rsid w:val="007821A5"/>
    <w:rsid w:val="0081588B"/>
    <w:rsid w:val="00821A32"/>
    <w:rsid w:val="0084118B"/>
    <w:rsid w:val="00853AB9"/>
    <w:rsid w:val="008546CA"/>
    <w:rsid w:val="00864A99"/>
    <w:rsid w:val="00867F69"/>
    <w:rsid w:val="00875EF8"/>
    <w:rsid w:val="008B7158"/>
    <w:rsid w:val="008C0068"/>
    <w:rsid w:val="008C7297"/>
    <w:rsid w:val="008D509D"/>
    <w:rsid w:val="008D5515"/>
    <w:rsid w:val="008D66F7"/>
    <w:rsid w:val="008E2098"/>
    <w:rsid w:val="0091050F"/>
    <w:rsid w:val="009243B2"/>
    <w:rsid w:val="0097062E"/>
    <w:rsid w:val="009A1E64"/>
    <w:rsid w:val="009B20DD"/>
    <w:rsid w:val="009B3505"/>
    <w:rsid w:val="009B5752"/>
    <w:rsid w:val="009C1868"/>
    <w:rsid w:val="009D1BC6"/>
    <w:rsid w:val="009E4463"/>
    <w:rsid w:val="009F54DF"/>
    <w:rsid w:val="009F69F7"/>
    <w:rsid w:val="00A1101A"/>
    <w:rsid w:val="00A115C3"/>
    <w:rsid w:val="00A17DC4"/>
    <w:rsid w:val="00A43D94"/>
    <w:rsid w:val="00A73D87"/>
    <w:rsid w:val="00A9715D"/>
    <w:rsid w:val="00AC2146"/>
    <w:rsid w:val="00AD754D"/>
    <w:rsid w:val="00AF41E8"/>
    <w:rsid w:val="00B2366B"/>
    <w:rsid w:val="00B3178E"/>
    <w:rsid w:val="00B4134F"/>
    <w:rsid w:val="00B43330"/>
    <w:rsid w:val="00B4518B"/>
    <w:rsid w:val="00B46BAE"/>
    <w:rsid w:val="00B521EA"/>
    <w:rsid w:val="00B74224"/>
    <w:rsid w:val="00B92F52"/>
    <w:rsid w:val="00B93BA5"/>
    <w:rsid w:val="00BD56D7"/>
    <w:rsid w:val="00BF3118"/>
    <w:rsid w:val="00BF5ADB"/>
    <w:rsid w:val="00C04F3C"/>
    <w:rsid w:val="00C12CA0"/>
    <w:rsid w:val="00C37668"/>
    <w:rsid w:val="00C72C56"/>
    <w:rsid w:val="00C859DA"/>
    <w:rsid w:val="00C92CAE"/>
    <w:rsid w:val="00CC210F"/>
    <w:rsid w:val="00CC235C"/>
    <w:rsid w:val="00CD1C81"/>
    <w:rsid w:val="00CE3F9D"/>
    <w:rsid w:val="00D02DBD"/>
    <w:rsid w:val="00D16306"/>
    <w:rsid w:val="00D50899"/>
    <w:rsid w:val="00D50A48"/>
    <w:rsid w:val="00D61324"/>
    <w:rsid w:val="00D86432"/>
    <w:rsid w:val="00D953FE"/>
    <w:rsid w:val="00DC2F6A"/>
    <w:rsid w:val="00DE79B5"/>
    <w:rsid w:val="00E059FB"/>
    <w:rsid w:val="00E165E6"/>
    <w:rsid w:val="00E676E5"/>
    <w:rsid w:val="00E7031D"/>
    <w:rsid w:val="00E82FF5"/>
    <w:rsid w:val="00E97B4B"/>
    <w:rsid w:val="00EA76D3"/>
    <w:rsid w:val="00ED7F7E"/>
    <w:rsid w:val="00EF201E"/>
    <w:rsid w:val="00F130A4"/>
    <w:rsid w:val="00F20D4F"/>
    <w:rsid w:val="00F502A7"/>
    <w:rsid w:val="00F52E69"/>
    <w:rsid w:val="00F731EB"/>
    <w:rsid w:val="00FA385E"/>
    <w:rsid w:val="00FA6DFC"/>
    <w:rsid w:val="00FB088B"/>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D175DA5"/>
  <w15:docId w15:val="{9774D24A-F9C7-4C5E-8A76-2049956E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045EA"/>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C37668"/>
    <w:rPr>
      <w:rFonts w:ascii="Arial" w:hAnsi="Arial" w:cs="Arial"/>
      <w:b/>
      <w:bCs/>
      <w:sz w:val="26"/>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rsid w:val="00456B30"/>
    <w:pPr>
      <w:tabs>
        <w:tab w:val="center" w:pos="4513"/>
        <w:tab w:val="right" w:pos="9026"/>
      </w:tabs>
    </w:pPr>
  </w:style>
  <w:style w:type="character" w:customStyle="1" w:styleId="HeaderChar">
    <w:name w:val="Header Char"/>
    <w:link w:val="Header"/>
    <w:rsid w:val="00456B30"/>
    <w:rPr>
      <w:rFonts w:ascii="Tahoma" w:hAnsi="Tahoma"/>
      <w:sz w:val="24"/>
      <w:szCs w:val="24"/>
      <w:lang w:eastAsia="en-US"/>
    </w:rPr>
  </w:style>
  <w:style w:type="character" w:styleId="CommentReference">
    <w:name w:val="annotation reference"/>
    <w:rsid w:val="00B4518B"/>
    <w:rPr>
      <w:sz w:val="16"/>
      <w:szCs w:val="16"/>
    </w:rPr>
  </w:style>
  <w:style w:type="paragraph" w:styleId="CommentText">
    <w:name w:val="annotation text"/>
    <w:basedOn w:val="Normal"/>
    <w:link w:val="CommentTextChar"/>
    <w:rsid w:val="00B4518B"/>
    <w:rPr>
      <w:sz w:val="20"/>
      <w:szCs w:val="20"/>
    </w:rPr>
  </w:style>
  <w:style w:type="character" w:customStyle="1" w:styleId="CommentTextChar">
    <w:name w:val="Comment Text Char"/>
    <w:link w:val="CommentText"/>
    <w:rsid w:val="00B4518B"/>
    <w:rPr>
      <w:rFonts w:ascii="Tahoma" w:hAnsi="Tahoma"/>
      <w:lang w:eastAsia="en-US"/>
    </w:rPr>
  </w:style>
  <w:style w:type="paragraph" w:styleId="CommentSubject">
    <w:name w:val="annotation subject"/>
    <w:basedOn w:val="CommentText"/>
    <w:next w:val="CommentText"/>
    <w:link w:val="CommentSubjectChar"/>
    <w:rsid w:val="00B4518B"/>
    <w:rPr>
      <w:b/>
      <w:bCs/>
    </w:rPr>
  </w:style>
  <w:style w:type="character" w:customStyle="1" w:styleId="CommentSubjectChar">
    <w:name w:val="Comment Subject Char"/>
    <w:link w:val="CommentSubject"/>
    <w:rsid w:val="00B4518B"/>
    <w:rPr>
      <w:rFonts w:ascii="Tahoma" w:hAnsi="Tahoma"/>
      <w:b/>
      <w:bCs/>
      <w:lang w:eastAsia="en-US"/>
    </w:rPr>
  </w:style>
  <w:style w:type="character" w:styleId="FollowedHyperlink">
    <w:name w:val="FollowedHyperlink"/>
    <w:rsid w:val="00637FAA"/>
    <w:rPr>
      <w:color w:val="954F72"/>
      <w:u w:val="single"/>
    </w:rPr>
  </w:style>
  <w:style w:type="paragraph" w:styleId="ListParagraph">
    <w:name w:val="List Paragraph"/>
    <w:basedOn w:val="Normal"/>
    <w:uiPriority w:val="34"/>
    <w:qFormat/>
    <w:rsid w:val="00AF41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4837">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1552351363">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Policies/Corporate%20Health%20and%20Safety%20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e4326ff81eef8bb9f9479179822ce4f9">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83D5-6344-433E-A956-C1FBBED083AE}">
  <ds:schemaRefs>
    <ds:schemaRef ds:uri="http://schemas.microsoft.com/sharepoint/v3/contenttype/forms"/>
  </ds:schemaRefs>
</ds:datastoreItem>
</file>

<file path=customXml/itemProps2.xml><?xml version="1.0" encoding="utf-8"?>
<ds:datastoreItem xmlns:ds="http://schemas.openxmlformats.org/officeDocument/2006/customXml" ds:itemID="{AF43D897-6EF5-4CB2-B542-0784E96AE433}">
  <ds:schemaRefs>
    <ds:schemaRef ds:uri="http://schemas.microsoft.com/office/2006/metadata/longProperties"/>
  </ds:schemaRefs>
</ds:datastoreItem>
</file>

<file path=customXml/itemProps3.xml><?xml version="1.0" encoding="utf-8"?>
<ds:datastoreItem xmlns:ds="http://schemas.openxmlformats.org/officeDocument/2006/customXml" ds:itemID="{C165B589-2F74-4C67-BBB1-04AF71405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3BD45-2005-47EC-BFEB-10CDBEA8A019}">
  <ds:schemaRefs>
    <ds:schemaRef ds:uri="http://schemas.microsoft.com/sharepoint/events"/>
  </ds:schemaRefs>
</ds:datastoreItem>
</file>

<file path=customXml/itemProps5.xml><?xml version="1.0" encoding="utf-8"?>
<ds:datastoreItem xmlns:ds="http://schemas.openxmlformats.org/officeDocument/2006/customXml" ds:itemID="{9B967BA9-7BA8-444B-8C40-92416BA330AF}">
  <ds:schemaRefs>
    <ds:schemaRef ds:uri="http://purl.org/dc/terms/"/>
    <ds:schemaRef ds:uri="http://schemas.openxmlformats.org/package/2006/metadata/core-properties"/>
    <ds:schemaRef ds:uri="http://schemas.microsoft.com/office/2006/documentManagement/types"/>
    <ds:schemaRef ds:uri="2c7e8880-231a-4163-b0c7-ad2e3f412734"/>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1F8E8AC6-D6B6-4E03-84D9-DA3A205A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919</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Bridgend C.B.C</Company>
  <LinksUpToDate>false</LinksUpToDate>
  <CharactersWithSpaces>6840</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THOMASJ</dc:creator>
  <cp:lastModifiedBy>Leighton Phillips</cp:lastModifiedBy>
  <cp:revision>3</cp:revision>
  <cp:lastPrinted>2019-08-21T12:52:00Z</cp:lastPrinted>
  <dcterms:created xsi:type="dcterms:W3CDTF">2019-08-21T12:52:00Z</dcterms:created>
  <dcterms:modified xsi:type="dcterms:W3CDTF">2019-08-21T12:53:00Z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D5F2D4CPPYHU-211-138</vt:lpwstr>
  </property>
  <property fmtid="{D5CDD505-2E9C-101B-9397-08002B2CF9AE}" pid="3" name="_dlc_DocIdItemGuid">
    <vt:lpwstr>12746117-ce93-40e0-836d-aa29679427ba</vt:lpwstr>
  </property>
  <property fmtid="{D5CDD505-2E9C-101B-9397-08002B2CF9AE}" pid="4" name="_dlc_DocIdUrl">
    <vt:lpwstr>http://www.bridgenders.net/humanresources/recruitment/_layouts/DocIdRedir.aspx?ID=D5F2D4CPPYHU-211-138, D5F2D4CPPYHU-211-138</vt:lpwstr>
  </property>
</Properties>
</file>