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3C" w:rsidRPr="00A50C3C" w:rsidRDefault="00A50C3C" w:rsidP="00A50C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0C3C" w:rsidRPr="00A50C3C" w:rsidRDefault="00D81546" w:rsidP="00A50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B7D59">
        <w:rPr>
          <w:rFonts w:ascii="Arial" w:hAnsi="Arial" w:cs="Arial"/>
          <w:sz w:val="24"/>
          <w:szCs w:val="24"/>
        </w:rPr>
        <w:t xml:space="preserve">yletswyddau gyrwyr cerbydau hacni a cherbydau hurio preifat </w:t>
      </w:r>
    </w:p>
    <w:p w:rsidR="00D81546" w:rsidRDefault="00D81546" w:rsidP="00A50C3C">
      <w:pPr>
        <w:rPr>
          <w:rFonts w:ascii="Arial" w:hAnsi="Arial" w:cs="Arial"/>
          <w:sz w:val="24"/>
          <w:szCs w:val="24"/>
        </w:rPr>
      </w:pPr>
    </w:p>
    <w:p w:rsidR="00A50C3C" w:rsidRPr="00A50C3C" w:rsidRDefault="007B7D59" w:rsidP="00A50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Deddf Cydraddoldeb 2010 Adran Dyletswyddau Gyrwyr Tacsi Adran 165 a 168 </w:t>
      </w:r>
    </w:p>
    <w:p w:rsidR="00A50C3C" w:rsidRDefault="007B7D59" w:rsidP="00A50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Adran</w:t>
      </w:r>
      <w:r w:rsidR="00A50C3C" w:rsidRPr="00A50C3C">
        <w:rPr>
          <w:rFonts w:ascii="Arial" w:hAnsi="Arial" w:cs="Arial"/>
          <w:sz w:val="24"/>
          <w:szCs w:val="24"/>
        </w:rPr>
        <w:t xml:space="preserve"> </w:t>
      </w:r>
      <w:r w:rsidR="00A50C3C">
        <w:rPr>
          <w:rFonts w:ascii="Arial" w:hAnsi="Arial" w:cs="Arial"/>
          <w:sz w:val="24"/>
          <w:szCs w:val="24"/>
        </w:rPr>
        <w:t xml:space="preserve">165 – </w:t>
      </w:r>
      <w:r>
        <w:rPr>
          <w:rFonts w:ascii="Arial" w:hAnsi="Arial" w:cs="Arial"/>
          <w:sz w:val="24"/>
          <w:szCs w:val="24"/>
        </w:rPr>
        <w:t>Teithwyr mewn cadeiriau olwyn</w:t>
      </w:r>
    </w:p>
    <w:p w:rsidR="001C6A45" w:rsidRDefault="007B7D59" w:rsidP="007B7D59">
      <w:pPr>
        <w:rPr>
          <w:rFonts w:ascii="Arial" w:hAnsi="Arial" w:cs="Arial"/>
          <w:sz w:val="24"/>
          <w:szCs w:val="24"/>
        </w:rPr>
      </w:pPr>
      <w:r w:rsidRPr="007B7D59">
        <w:rPr>
          <w:rFonts w:ascii="Arial" w:hAnsi="Arial" w:cs="Arial"/>
          <w:sz w:val="24"/>
          <w:szCs w:val="24"/>
        </w:rPr>
        <w:t xml:space="preserve">Mae Adran 165 </w:t>
      </w:r>
      <w:r w:rsidR="001C6A45">
        <w:rPr>
          <w:rFonts w:ascii="Arial" w:hAnsi="Arial" w:cs="Arial"/>
          <w:sz w:val="24"/>
          <w:szCs w:val="24"/>
        </w:rPr>
        <w:t>o Dd</w:t>
      </w:r>
      <w:r w:rsidRPr="007B7D59">
        <w:rPr>
          <w:rFonts w:ascii="Arial" w:hAnsi="Arial" w:cs="Arial"/>
          <w:sz w:val="24"/>
          <w:szCs w:val="24"/>
        </w:rPr>
        <w:t xml:space="preserve">eddf Cydraddoldeb 2010 yn </w:t>
      </w:r>
      <w:r w:rsidR="00503969">
        <w:rPr>
          <w:rFonts w:ascii="Arial" w:hAnsi="Arial" w:cs="Arial"/>
          <w:sz w:val="24"/>
          <w:szCs w:val="24"/>
        </w:rPr>
        <w:t>rhoi</w:t>
      </w:r>
      <w:r w:rsidRPr="007B7D59">
        <w:rPr>
          <w:rFonts w:ascii="Arial" w:hAnsi="Arial" w:cs="Arial"/>
          <w:sz w:val="24"/>
          <w:szCs w:val="24"/>
        </w:rPr>
        <w:t xml:space="preserve"> ‘dyletswyddau’ </w:t>
      </w:r>
      <w:r w:rsidR="00503969">
        <w:rPr>
          <w:rFonts w:ascii="Arial" w:hAnsi="Arial" w:cs="Arial"/>
          <w:sz w:val="24"/>
          <w:szCs w:val="24"/>
        </w:rPr>
        <w:t xml:space="preserve">penodol </w:t>
      </w:r>
      <w:r w:rsidRPr="007B7D59">
        <w:rPr>
          <w:rFonts w:ascii="Arial" w:hAnsi="Arial" w:cs="Arial"/>
          <w:sz w:val="24"/>
          <w:szCs w:val="24"/>
        </w:rPr>
        <w:t>ar yrwyr “cerbyd dynodedig”</w:t>
      </w:r>
      <w:r>
        <w:rPr>
          <w:rFonts w:ascii="Arial" w:hAnsi="Arial" w:cs="Arial"/>
          <w:sz w:val="24"/>
          <w:szCs w:val="24"/>
        </w:rPr>
        <w:t xml:space="preserve"> </w:t>
      </w:r>
      <w:r w:rsidRPr="007B7D59">
        <w:rPr>
          <w:rFonts w:ascii="Arial" w:hAnsi="Arial" w:cs="Arial"/>
          <w:sz w:val="24"/>
          <w:szCs w:val="24"/>
        </w:rPr>
        <w:t xml:space="preserve">h.y. cerbydau hacni a cherbydau hurio preifat sy’n hygyrch i gadeiriau olwyn. </w:t>
      </w:r>
    </w:p>
    <w:p w:rsidR="007B7D59" w:rsidRPr="007B7D59" w:rsidRDefault="001C6A45" w:rsidP="007B7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dan y</w:t>
      </w:r>
      <w:r w:rsidR="007B7D59" w:rsidRPr="007B7D59">
        <w:rPr>
          <w:rFonts w:ascii="Arial" w:hAnsi="Arial" w:cs="Arial"/>
          <w:sz w:val="24"/>
          <w:szCs w:val="24"/>
        </w:rPr>
        <w:t xml:space="preserve"> dyletswyddau</w:t>
      </w:r>
      <w:r>
        <w:rPr>
          <w:rFonts w:ascii="Arial" w:hAnsi="Arial" w:cs="Arial"/>
          <w:sz w:val="24"/>
          <w:szCs w:val="24"/>
        </w:rPr>
        <w:t xml:space="preserve"> hyn, rhaid i’r gyrrwr</w:t>
      </w:r>
      <w:r w:rsidR="007B7D59">
        <w:rPr>
          <w:rFonts w:ascii="Arial" w:hAnsi="Arial" w:cs="Arial"/>
          <w:sz w:val="24"/>
          <w:szCs w:val="24"/>
        </w:rPr>
        <w:t>:</w:t>
      </w:r>
    </w:p>
    <w:p w:rsidR="007B7D59" w:rsidRPr="007B7D59" w:rsidRDefault="001C6A45" w:rsidP="007B7D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B7D59" w:rsidRPr="007B7D59">
        <w:rPr>
          <w:rFonts w:ascii="Arial" w:hAnsi="Arial" w:cs="Arial"/>
          <w:sz w:val="24"/>
          <w:szCs w:val="24"/>
        </w:rPr>
        <w:t xml:space="preserve">ludo’r teithiwr </w:t>
      </w:r>
      <w:r>
        <w:rPr>
          <w:rFonts w:ascii="Arial" w:hAnsi="Arial" w:cs="Arial"/>
          <w:sz w:val="24"/>
          <w:szCs w:val="24"/>
        </w:rPr>
        <w:t>yn y g</w:t>
      </w:r>
      <w:r w:rsidR="007B7D59" w:rsidRPr="007B7D59">
        <w:rPr>
          <w:rFonts w:ascii="Arial" w:hAnsi="Arial" w:cs="Arial"/>
          <w:sz w:val="24"/>
          <w:szCs w:val="24"/>
        </w:rPr>
        <w:t>adair olwyn;</w:t>
      </w:r>
    </w:p>
    <w:p w:rsidR="007B7D59" w:rsidRPr="007B7D59" w:rsidRDefault="007B7D59" w:rsidP="007B7D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B7D59">
        <w:rPr>
          <w:rFonts w:ascii="Arial" w:hAnsi="Arial" w:cs="Arial"/>
          <w:sz w:val="24"/>
          <w:szCs w:val="24"/>
        </w:rPr>
        <w:t>eidio â chodi unrhyw dâl ychwanegol am wneud hynny;</w:t>
      </w:r>
    </w:p>
    <w:p w:rsidR="007B7D59" w:rsidRPr="007B7D59" w:rsidRDefault="001C6A45" w:rsidP="007B7D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B7D59">
        <w:rPr>
          <w:rFonts w:ascii="Arial" w:hAnsi="Arial" w:cs="Arial"/>
          <w:sz w:val="24"/>
          <w:szCs w:val="24"/>
        </w:rPr>
        <w:t xml:space="preserve">ludo’r gadair olwyn </w:t>
      </w:r>
      <w:r w:rsidR="007B7D59" w:rsidRPr="007B7D59">
        <w:rPr>
          <w:rFonts w:ascii="Arial" w:hAnsi="Arial" w:cs="Arial"/>
          <w:sz w:val="24"/>
          <w:szCs w:val="24"/>
        </w:rPr>
        <w:t>os yw’r teithiwr yn dymuno eistedd mewn sedd teithiwr;</w:t>
      </w:r>
    </w:p>
    <w:p w:rsidR="007B7D59" w:rsidRPr="007B7D59" w:rsidRDefault="007B7D59" w:rsidP="007B7D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D59">
        <w:rPr>
          <w:rFonts w:ascii="Arial" w:hAnsi="Arial" w:cs="Arial"/>
          <w:sz w:val="24"/>
          <w:szCs w:val="24"/>
        </w:rPr>
        <w:t>cymryd unrhyw gamau angenrheidiol i sicrhau bod y teithiwr yn cael ei gludo'n ddiogel ac yn</w:t>
      </w:r>
      <w:r>
        <w:rPr>
          <w:rFonts w:ascii="Arial" w:hAnsi="Arial" w:cs="Arial"/>
          <w:sz w:val="24"/>
          <w:szCs w:val="24"/>
        </w:rPr>
        <w:t xml:space="preserve"> </w:t>
      </w:r>
      <w:r w:rsidRPr="007B7D59">
        <w:rPr>
          <w:rFonts w:ascii="Arial" w:hAnsi="Arial" w:cs="Arial"/>
          <w:sz w:val="24"/>
          <w:szCs w:val="24"/>
        </w:rPr>
        <w:t>weddol gyfforddus;</w:t>
      </w:r>
    </w:p>
    <w:p w:rsidR="007B7D59" w:rsidRPr="007B7D59" w:rsidRDefault="007B7D59" w:rsidP="007B7D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D59">
        <w:rPr>
          <w:rFonts w:ascii="Arial" w:hAnsi="Arial" w:cs="Arial"/>
          <w:sz w:val="24"/>
          <w:szCs w:val="24"/>
        </w:rPr>
        <w:t>rhoi</w:t>
      </w:r>
      <w:r>
        <w:rPr>
          <w:rFonts w:ascii="Arial" w:hAnsi="Arial" w:cs="Arial"/>
          <w:sz w:val="24"/>
          <w:szCs w:val="24"/>
        </w:rPr>
        <w:t>’r</w:t>
      </w:r>
      <w:r w:rsidRPr="007B7D59">
        <w:rPr>
          <w:rFonts w:ascii="Arial" w:hAnsi="Arial" w:cs="Arial"/>
          <w:sz w:val="24"/>
          <w:szCs w:val="24"/>
        </w:rPr>
        <w:t xml:space="preserve"> cymorth </w:t>
      </w:r>
      <w:r>
        <w:rPr>
          <w:rFonts w:ascii="Arial" w:hAnsi="Arial" w:cs="Arial"/>
          <w:sz w:val="24"/>
          <w:szCs w:val="24"/>
        </w:rPr>
        <w:t>gofynnol, o fewn rheswm, i’r teithiwr symud o un lle i’r llall</w:t>
      </w:r>
      <w:r w:rsidRPr="007B7D59">
        <w:rPr>
          <w:rFonts w:ascii="Arial" w:hAnsi="Arial" w:cs="Arial"/>
          <w:sz w:val="24"/>
          <w:szCs w:val="24"/>
        </w:rPr>
        <w:t>;</w:t>
      </w:r>
    </w:p>
    <w:p w:rsidR="007B7D59" w:rsidRPr="007B7D59" w:rsidRDefault="007B7D59" w:rsidP="007B7D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D59">
        <w:rPr>
          <w:rFonts w:ascii="Arial" w:hAnsi="Arial" w:cs="Arial"/>
          <w:sz w:val="24"/>
          <w:szCs w:val="24"/>
        </w:rPr>
        <w:t>sicrhau bod y teithiwr yn gallu mynd i mewn ac allan o'r cerbyd;</w:t>
      </w:r>
    </w:p>
    <w:p w:rsidR="007B7D59" w:rsidRPr="007B7D59" w:rsidRDefault="007B7D59" w:rsidP="007B7D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B7D59">
        <w:rPr>
          <w:rFonts w:ascii="Arial" w:hAnsi="Arial" w:cs="Arial"/>
          <w:sz w:val="24"/>
          <w:szCs w:val="24"/>
        </w:rPr>
        <w:t>s yw teith</w:t>
      </w:r>
      <w:r w:rsidR="009B0C05">
        <w:rPr>
          <w:rFonts w:ascii="Arial" w:hAnsi="Arial" w:cs="Arial"/>
          <w:sz w:val="24"/>
          <w:szCs w:val="24"/>
        </w:rPr>
        <w:t>wyr</w:t>
      </w:r>
      <w:r w:rsidRPr="007B7D59">
        <w:rPr>
          <w:rFonts w:ascii="Arial" w:hAnsi="Arial" w:cs="Arial"/>
          <w:sz w:val="24"/>
          <w:szCs w:val="24"/>
        </w:rPr>
        <w:t xml:space="preserve"> yn dymuno aros yn y gadair olwyn, </w:t>
      </w:r>
      <w:r>
        <w:rPr>
          <w:rFonts w:ascii="Arial" w:hAnsi="Arial" w:cs="Arial"/>
          <w:sz w:val="24"/>
          <w:szCs w:val="24"/>
        </w:rPr>
        <w:t>e</w:t>
      </w:r>
      <w:r w:rsidR="009B0C05">
        <w:rPr>
          <w:rFonts w:ascii="Arial" w:hAnsi="Arial" w:cs="Arial"/>
          <w:sz w:val="24"/>
          <w:szCs w:val="24"/>
        </w:rPr>
        <w:t>u g</w:t>
      </w:r>
      <w:r>
        <w:rPr>
          <w:rFonts w:ascii="Arial" w:hAnsi="Arial" w:cs="Arial"/>
          <w:sz w:val="24"/>
          <w:szCs w:val="24"/>
        </w:rPr>
        <w:t xml:space="preserve">alluogi i </w:t>
      </w:r>
      <w:r w:rsidRPr="007B7D59">
        <w:rPr>
          <w:rFonts w:ascii="Arial" w:hAnsi="Arial" w:cs="Arial"/>
          <w:sz w:val="24"/>
          <w:szCs w:val="24"/>
        </w:rPr>
        <w:t>fynd i mewn</w:t>
      </w:r>
    </w:p>
    <w:p w:rsidR="007B7D59" w:rsidRPr="007B7D59" w:rsidRDefault="007B7D59" w:rsidP="007B7D59">
      <w:pPr>
        <w:pStyle w:val="ListParagraph"/>
        <w:rPr>
          <w:rFonts w:ascii="Arial" w:hAnsi="Arial" w:cs="Arial"/>
          <w:sz w:val="24"/>
          <w:szCs w:val="24"/>
        </w:rPr>
      </w:pPr>
      <w:r w:rsidRPr="007B7D59">
        <w:rPr>
          <w:rFonts w:ascii="Arial" w:hAnsi="Arial" w:cs="Arial"/>
          <w:sz w:val="24"/>
          <w:szCs w:val="24"/>
        </w:rPr>
        <w:t xml:space="preserve">ac allan o'r cerbyd </w:t>
      </w:r>
      <w:r w:rsidR="009B0C05">
        <w:rPr>
          <w:rFonts w:ascii="Arial" w:hAnsi="Arial" w:cs="Arial"/>
          <w:sz w:val="24"/>
          <w:szCs w:val="24"/>
        </w:rPr>
        <w:t>tra byddant yn</w:t>
      </w:r>
      <w:r w:rsidRPr="007B7D59">
        <w:rPr>
          <w:rFonts w:ascii="Arial" w:hAnsi="Arial" w:cs="Arial"/>
          <w:sz w:val="24"/>
          <w:szCs w:val="24"/>
        </w:rPr>
        <w:t xml:space="preserve"> eistedd yn y gadair olwyn</w:t>
      </w:r>
    </w:p>
    <w:p w:rsidR="00503969" w:rsidRDefault="00503969" w:rsidP="007B7D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3969">
        <w:rPr>
          <w:rFonts w:ascii="Arial" w:hAnsi="Arial" w:cs="Arial"/>
          <w:sz w:val="24"/>
          <w:szCs w:val="24"/>
        </w:rPr>
        <w:t>l</w:t>
      </w:r>
      <w:r w:rsidR="007B7D59" w:rsidRPr="00503969">
        <w:rPr>
          <w:rFonts w:ascii="Arial" w:hAnsi="Arial" w:cs="Arial"/>
          <w:sz w:val="24"/>
          <w:szCs w:val="24"/>
        </w:rPr>
        <w:t>lwytho bagiau'r teithiwr i mewn ac allan o'r cerbyd;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3969" w:rsidRDefault="001C6A45" w:rsidP="007B7D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3969">
        <w:rPr>
          <w:rFonts w:ascii="Arial" w:hAnsi="Arial" w:cs="Arial"/>
          <w:sz w:val="24"/>
          <w:szCs w:val="24"/>
        </w:rPr>
        <w:t>llwytho’r gadair olwyn i</w:t>
      </w:r>
      <w:r>
        <w:rPr>
          <w:rFonts w:ascii="Arial" w:hAnsi="Arial" w:cs="Arial"/>
          <w:sz w:val="24"/>
          <w:szCs w:val="24"/>
        </w:rPr>
        <w:t xml:space="preserve"> </w:t>
      </w:r>
      <w:r w:rsidRPr="00503969">
        <w:rPr>
          <w:rFonts w:ascii="Arial" w:hAnsi="Arial" w:cs="Arial"/>
          <w:sz w:val="24"/>
          <w:szCs w:val="24"/>
        </w:rPr>
        <w:t xml:space="preserve">mewn ac allan o’r cerbyd </w:t>
      </w:r>
      <w:r w:rsidR="007B7D59" w:rsidRPr="00503969">
        <w:rPr>
          <w:rFonts w:ascii="Arial" w:hAnsi="Arial" w:cs="Arial"/>
          <w:sz w:val="24"/>
          <w:szCs w:val="24"/>
        </w:rPr>
        <w:t>os nad yw’r teithiwr yn dymuno aros yn y gadair olwyn.</w:t>
      </w:r>
    </w:p>
    <w:p w:rsidR="00A50C3C" w:rsidRDefault="00503969" w:rsidP="00A50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Adran</w:t>
      </w:r>
      <w:r w:rsidR="00A50C3C" w:rsidRPr="00A50C3C">
        <w:rPr>
          <w:rFonts w:ascii="Arial" w:hAnsi="Arial" w:cs="Arial"/>
          <w:sz w:val="24"/>
          <w:szCs w:val="24"/>
        </w:rPr>
        <w:t xml:space="preserve"> 168 – </w:t>
      </w:r>
      <w:r>
        <w:rPr>
          <w:rFonts w:ascii="Arial" w:hAnsi="Arial" w:cs="Arial"/>
          <w:sz w:val="24"/>
          <w:szCs w:val="24"/>
        </w:rPr>
        <w:t>Cŵn cymorth mewn tacsis</w:t>
      </w:r>
      <w:r w:rsidR="00A50C3C" w:rsidRPr="00A50C3C">
        <w:rPr>
          <w:rFonts w:ascii="Arial" w:hAnsi="Arial" w:cs="Arial"/>
          <w:sz w:val="24"/>
          <w:szCs w:val="24"/>
        </w:rPr>
        <w:t xml:space="preserve">  </w:t>
      </w:r>
    </w:p>
    <w:p w:rsidR="00A50C3C" w:rsidRPr="00A50C3C" w:rsidRDefault="00503969" w:rsidP="00A50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Adran 168 o Ddeddf Cy</w:t>
      </w:r>
      <w:r w:rsidR="009B0C0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raddoldeb 2010 yn rhoi dyletswyddau ar yrwyr tacsis sydd wedi’u hurio </w:t>
      </w:r>
      <w:r w:rsidR="00A50C3C" w:rsidRPr="00A50C3C">
        <w:rPr>
          <w:rFonts w:ascii="Arial" w:hAnsi="Arial" w:cs="Arial"/>
          <w:sz w:val="24"/>
          <w:szCs w:val="24"/>
        </w:rPr>
        <w:t xml:space="preserve">- </w:t>
      </w:r>
    </w:p>
    <w:p w:rsidR="00A50C3C" w:rsidRPr="00A50C3C" w:rsidRDefault="00A50C3C" w:rsidP="00A50C3C">
      <w:pPr>
        <w:rPr>
          <w:rFonts w:ascii="Arial" w:hAnsi="Arial" w:cs="Arial"/>
          <w:sz w:val="24"/>
          <w:szCs w:val="24"/>
        </w:rPr>
      </w:pPr>
      <w:r w:rsidRPr="00A50C3C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</w:r>
      <w:r w:rsidR="00503969">
        <w:rPr>
          <w:rFonts w:ascii="Arial" w:hAnsi="Arial" w:cs="Arial"/>
          <w:sz w:val="24"/>
          <w:szCs w:val="24"/>
        </w:rPr>
        <w:t xml:space="preserve">gan neu ar ran person anabl sydd â chi cymorth, neu </w:t>
      </w:r>
    </w:p>
    <w:p w:rsidR="00A50C3C" w:rsidRDefault="00A50C3C" w:rsidP="00A50C3C">
      <w:pPr>
        <w:rPr>
          <w:rFonts w:ascii="Arial" w:hAnsi="Arial" w:cs="Arial"/>
          <w:sz w:val="24"/>
          <w:szCs w:val="24"/>
        </w:rPr>
      </w:pPr>
      <w:r w:rsidRPr="00A50C3C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</w:r>
      <w:r w:rsidR="00503969">
        <w:rPr>
          <w:rFonts w:ascii="Arial" w:hAnsi="Arial" w:cs="Arial"/>
          <w:sz w:val="24"/>
          <w:szCs w:val="24"/>
        </w:rPr>
        <w:t>gan rywun arall sydd am deithio gyda pherson anabl sydd â chi cymorth.</w:t>
      </w:r>
      <w:r w:rsidRPr="00A50C3C">
        <w:rPr>
          <w:rFonts w:ascii="Arial" w:hAnsi="Arial" w:cs="Arial"/>
          <w:sz w:val="24"/>
          <w:szCs w:val="24"/>
        </w:rPr>
        <w:t xml:space="preserve">  </w:t>
      </w:r>
    </w:p>
    <w:p w:rsidR="00A50C3C" w:rsidRDefault="001C6A45" w:rsidP="00A50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50C3C" w:rsidRPr="00A50C3C">
        <w:rPr>
          <w:rFonts w:ascii="Arial" w:hAnsi="Arial" w:cs="Arial"/>
          <w:sz w:val="24"/>
          <w:szCs w:val="24"/>
        </w:rPr>
        <w:t>:</w:t>
      </w:r>
    </w:p>
    <w:p w:rsidR="00503969" w:rsidRPr="00503969" w:rsidRDefault="00A50C3C" w:rsidP="00503969">
      <w:pPr>
        <w:rPr>
          <w:rFonts w:ascii="Arial" w:hAnsi="Arial" w:cs="Arial"/>
          <w:sz w:val="24"/>
          <w:szCs w:val="24"/>
        </w:rPr>
      </w:pPr>
      <w:r w:rsidRPr="00A50C3C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ab/>
      </w:r>
      <w:r w:rsidR="00503969" w:rsidRPr="00503969">
        <w:rPr>
          <w:rFonts w:ascii="Arial" w:hAnsi="Arial" w:cs="Arial"/>
          <w:sz w:val="24"/>
          <w:szCs w:val="24"/>
        </w:rPr>
        <w:t>gludo ci'r person anabl a chaniatáu i’r ci aros gyda’r person hwnnw;</w:t>
      </w:r>
    </w:p>
    <w:p w:rsidR="00503969" w:rsidRDefault="00503969" w:rsidP="00503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    </w:t>
      </w:r>
      <w:r w:rsidRPr="00503969">
        <w:rPr>
          <w:rFonts w:ascii="Arial" w:hAnsi="Arial" w:cs="Arial"/>
          <w:sz w:val="24"/>
          <w:szCs w:val="24"/>
        </w:rPr>
        <w:t xml:space="preserve"> beidio â chodi unrhyw dâl ychwanegol am wneud hynny. </w:t>
      </w:r>
    </w:p>
    <w:p w:rsidR="00A50C3C" w:rsidRDefault="00503969" w:rsidP="00503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Eithriadau:</w:t>
      </w:r>
      <w:r w:rsidR="00A50C3C" w:rsidRPr="00A50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nid yw’r dyletswyddau uchod yn gymwys i yrwyr sydd wedi’u heithrio. Gall Awdurdod Trwyddedu eich eithrio os oes gennych gyflwr meddygol, anabledd neu gyflwr corfforol sy’n ei gwneud yn amhosibl neu’n afresymol o anodd i chi gyflawni’r dyletswyddau hyn.</w:t>
      </w:r>
      <w:r w:rsidR="00A50C3C" w:rsidRPr="00A50C3C">
        <w:rPr>
          <w:rFonts w:ascii="Arial" w:hAnsi="Arial" w:cs="Arial"/>
          <w:sz w:val="24"/>
          <w:szCs w:val="24"/>
        </w:rPr>
        <w:t xml:space="preserve">  </w:t>
      </w:r>
    </w:p>
    <w:p w:rsidR="00A50C3C" w:rsidRDefault="00A50C3C" w:rsidP="00A50C3C">
      <w:pPr>
        <w:rPr>
          <w:rFonts w:ascii="Arial" w:hAnsi="Arial" w:cs="Arial"/>
          <w:sz w:val="24"/>
          <w:szCs w:val="24"/>
        </w:rPr>
      </w:pPr>
    </w:p>
    <w:p w:rsidR="00A50C3C" w:rsidRPr="00A50C3C" w:rsidRDefault="00503969" w:rsidP="00A50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ydych </w:t>
      </w:r>
      <w:r w:rsidR="001C6A45">
        <w:rPr>
          <w:rFonts w:ascii="Arial" w:hAnsi="Arial" w:cs="Arial"/>
          <w:sz w:val="24"/>
          <w:szCs w:val="24"/>
        </w:rPr>
        <w:t>chi’n</w:t>
      </w:r>
      <w:r>
        <w:rPr>
          <w:rFonts w:ascii="Arial" w:hAnsi="Arial" w:cs="Arial"/>
          <w:sz w:val="24"/>
          <w:szCs w:val="24"/>
        </w:rPr>
        <w:t xml:space="preserve"> teimlo bod angen eich eithrio o’r dyletswyddau hyn, gallwch ofyn i’ch meddyg teulu </w:t>
      </w:r>
      <w:r w:rsidR="001C6A45">
        <w:rPr>
          <w:rFonts w:ascii="Arial" w:hAnsi="Arial" w:cs="Arial"/>
          <w:sz w:val="24"/>
          <w:szCs w:val="24"/>
        </w:rPr>
        <w:t>lenwi</w:t>
      </w:r>
      <w:r>
        <w:rPr>
          <w:rFonts w:ascii="Arial" w:hAnsi="Arial" w:cs="Arial"/>
          <w:sz w:val="24"/>
          <w:szCs w:val="24"/>
        </w:rPr>
        <w:t xml:space="preserve">’r dystysgrif feddygol a’i hanfon i’r Awdurdod Trwyddedu. Os caiff gyrrwr ei eithrio, bydd yn cael hysbysiad at y diben hwnnw, a rhaid gosod hwn ar </w:t>
      </w:r>
      <w:r w:rsidR="009B0C05">
        <w:rPr>
          <w:rFonts w:ascii="Arial" w:hAnsi="Arial" w:cs="Arial"/>
          <w:sz w:val="24"/>
          <w:szCs w:val="24"/>
        </w:rPr>
        <w:t xml:space="preserve">y </w:t>
      </w:r>
      <w:r w:rsidR="009B0C05">
        <w:rPr>
          <w:rFonts w:ascii="Arial" w:hAnsi="Arial" w:cs="Arial"/>
          <w:sz w:val="24"/>
          <w:szCs w:val="24"/>
        </w:rPr>
        <w:lastRenderedPageBreak/>
        <w:t xml:space="preserve">ffenestr flaen ar ochr fewnol y cerbyd. Dim ond pan fydd y gyrrwr a enwir ar yr hysbysiad yn gyrru’r cerbyd </w:t>
      </w:r>
      <w:r w:rsidR="001C6A45">
        <w:rPr>
          <w:rFonts w:ascii="Arial" w:hAnsi="Arial" w:cs="Arial"/>
          <w:sz w:val="24"/>
          <w:szCs w:val="24"/>
        </w:rPr>
        <w:t xml:space="preserve">y dylid ei arddangos </w:t>
      </w:r>
      <w:r w:rsidR="009B0C05">
        <w:rPr>
          <w:rFonts w:ascii="Arial" w:hAnsi="Arial" w:cs="Arial"/>
          <w:sz w:val="24"/>
          <w:szCs w:val="24"/>
        </w:rPr>
        <w:t xml:space="preserve">h.y. rhaid </w:t>
      </w:r>
      <w:r w:rsidR="001C6A45">
        <w:rPr>
          <w:rFonts w:ascii="Arial" w:hAnsi="Arial" w:cs="Arial"/>
          <w:sz w:val="24"/>
          <w:szCs w:val="24"/>
        </w:rPr>
        <w:t>tynnu’r</w:t>
      </w:r>
      <w:r w:rsidR="009B0C05">
        <w:rPr>
          <w:rFonts w:ascii="Arial" w:hAnsi="Arial" w:cs="Arial"/>
          <w:sz w:val="24"/>
          <w:szCs w:val="24"/>
        </w:rPr>
        <w:t xml:space="preserve"> hysbysiad</w:t>
      </w:r>
      <w:r w:rsidR="001C6A45">
        <w:rPr>
          <w:rFonts w:ascii="Arial" w:hAnsi="Arial" w:cs="Arial"/>
          <w:sz w:val="24"/>
          <w:szCs w:val="24"/>
        </w:rPr>
        <w:t xml:space="preserve"> i lawr</w:t>
      </w:r>
      <w:r w:rsidR="009B0C05">
        <w:rPr>
          <w:rFonts w:ascii="Arial" w:hAnsi="Arial" w:cs="Arial"/>
          <w:sz w:val="24"/>
          <w:szCs w:val="24"/>
        </w:rPr>
        <w:t xml:space="preserve"> os bydd rhywun arall yn gyrru’r cerbyd. </w:t>
      </w:r>
      <w:bookmarkStart w:id="1" w:name="cysill"/>
      <w:bookmarkEnd w:id="1"/>
    </w:p>
    <w:sectPr w:rsidR="00A50C3C" w:rsidRPr="00A50C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EC" w:rsidRDefault="00772DEC" w:rsidP="00D81546">
      <w:pPr>
        <w:spacing w:after="0" w:line="240" w:lineRule="auto"/>
      </w:pPr>
      <w:r>
        <w:separator/>
      </w:r>
    </w:p>
  </w:endnote>
  <w:endnote w:type="continuationSeparator" w:id="0">
    <w:p w:rsidR="00772DEC" w:rsidRDefault="00772DEC" w:rsidP="00D8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278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546" w:rsidRDefault="00D815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546" w:rsidRDefault="00D81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EC" w:rsidRDefault="00772DEC" w:rsidP="00D81546">
      <w:pPr>
        <w:spacing w:after="0" w:line="240" w:lineRule="auto"/>
      </w:pPr>
      <w:r>
        <w:separator/>
      </w:r>
    </w:p>
  </w:footnote>
  <w:footnote w:type="continuationSeparator" w:id="0">
    <w:p w:rsidR="00772DEC" w:rsidRDefault="00772DEC" w:rsidP="00D8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9F9"/>
    <w:multiLevelType w:val="hybridMultilevel"/>
    <w:tmpl w:val="3164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485A"/>
    <w:multiLevelType w:val="hybridMultilevel"/>
    <w:tmpl w:val="5A028788"/>
    <w:lvl w:ilvl="0" w:tplc="99802BF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F63"/>
    <w:multiLevelType w:val="hybridMultilevel"/>
    <w:tmpl w:val="B442F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C"/>
    <w:rsid w:val="001C6A45"/>
    <w:rsid w:val="00503969"/>
    <w:rsid w:val="005D1BFC"/>
    <w:rsid w:val="006E341F"/>
    <w:rsid w:val="00772DEC"/>
    <w:rsid w:val="007B7D59"/>
    <w:rsid w:val="0082508C"/>
    <w:rsid w:val="009B0C05"/>
    <w:rsid w:val="00A50C3C"/>
    <w:rsid w:val="00CA0C95"/>
    <w:rsid w:val="00D45362"/>
    <w:rsid w:val="00D81546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1F4AF-94A4-491C-8188-BB4B9020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46"/>
  </w:style>
  <w:style w:type="paragraph" w:styleId="Footer">
    <w:name w:val="footer"/>
    <w:basedOn w:val="Normal"/>
    <w:link w:val="FooterChar"/>
    <w:uiPriority w:val="99"/>
    <w:unhideWhenUsed/>
    <w:rsid w:val="00D8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Duties Welsh</dc:title>
  <dc:subject/>
  <dc:creator>Yvonne Witchell</dc:creator>
  <cp:keywords>Equality Duties Welsh</cp:keywords>
  <dc:description/>
  <cp:lastModifiedBy>Ilaria Agostini-Green</cp:lastModifiedBy>
  <cp:revision>2</cp:revision>
  <cp:lastPrinted>2019-10-06T11:50:00Z</cp:lastPrinted>
  <dcterms:created xsi:type="dcterms:W3CDTF">2019-11-01T14:25:00Z</dcterms:created>
  <dcterms:modified xsi:type="dcterms:W3CDTF">2019-11-01T14:25:00Z</dcterms:modified>
</cp:coreProperties>
</file>