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C0C" w:rsidRPr="00BD4C0C" w:rsidRDefault="00BD4C0C" w:rsidP="00BD4C0C">
      <w:pPr>
        <w:spacing w:before="120" w:after="0" w:line="240" w:lineRule="auto"/>
        <w:jc w:val="center"/>
        <w:rPr>
          <w:rFonts w:ascii="Verdana" w:eastAsia="Times New Roman" w:hAnsi="Verdana" w:cs="Times New Roman"/>
          <w:sz w:val="24"/>
          <w:szCs w:val="24"/>
          <w:lang w:eastAsia="en-GB"/>
        </w:rPr>
      </w:pPr>
      <w:bookmarkStart w:id="0" w:name="_GoBack"/>
      <w:bookmarkEnd w:id="0"/>
      <w:r>
        <w:rPr>
          <w:rFonts w:ascii="Verdana" w:eastAsia="Times New Roman" w:hAnsi="Verdana" w:cs="Times New Roman"/>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-114300</wp:posOffset>
                </wp:positionV>
                <wp:extent cx="5938520" cy="1143000"/>
                <wp:effectExtent l="0" t="0" r="62230" b="571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8520" cy="1143000"/>
                        </a:xfrm>
                        <a:prstGeom prst="rect">
                          <a:avLst/>
                        </a:prstGeom>
                        <a:noFill/>
                        <a:ln w="9525">
                          <a:solidFill>
                            <a:srgbClr val="000000"/>
                          </a:solidFill>
                          <a:miter lim="800000"/>
                          <a:headEnd/>
                          <a:tailEnd/>
                        </a:ln>
                        <a:effectLst>
                          <a:outerShdw dist="35921"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DBEDA" id="Rectangle 6" o:spid="_x0000_s1026" style="position:absolute;margin-left:-9pt;margin-top:-9pt;width:467.6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" filled="f">
                <v:shadow on="t"/>
              </v:rect>
            </w:pict>
          </mc:Fallback>
        </mc:AlternateContent>
      </w:r>
      <w:r>
        <w:rPr>
          <w:rFonts w:ascii="Verdana" w:eastAsia="Times New Roman" w:hAnsi="Verdana" w:cs="Times New Roman"/>
          <w:noProof/>
          <w:sz w:val="24"/>
          <w:szCs w:val="24"/>
          <w:lang w:eastAsia="en-GB"/>
        </w:rPr>
        <w:drawing>
          <wp:anchor distT="0" distB="0" distL="114300" distR="114300" simplePos="0" relativeHeight="251659264" behindDoc="0" locked="0" layoutInCell="1" allowOverlap="1">
            <wp:simplePos x="0" y="0"/>
            <wp:positionH relativeFrom="column">
              <wp:align>right</wp:align>
            </wp:positionH>
            <wp:positionV relativeFrom="paragraph">
              <wp:posOffset>0</wp:posOffset>
            </wp:positionV>
            <wp:extent cx="644525" cy="952500"/>
            <wp:effectExtent l="0" t="0" r="317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4525" cy="95250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Pr="00BD4C0C">
            <w:rPr>
              <w:rFonts w:ascii="Verdana" w:eastAsia="Times New Roman" w:hAnsi="Verdana" w:cs="Times New Roman"/>
              <w:sz w:val="24"/>
              <w:szCs w:val="24"/>
              <w:lang w:eastAsia="en-GB"/>
            </w:rPr>
            <w:t>Bridgend</w:t>
          </w:r>
        </w:smartTag>
        <w:r w:rsidRPr="00BD4C0C">
          <w:rPr>
            <w:rFonts w:ascii="Verdana" w:eastAsia="Times New Roman" w:hAnsi="Verdana" w:cs="Times New Roman"/>
            <w:sz w:val="24"/>
            <w:szCs w:val="24"/>
            <w:lang w:eastAsia="en-GB"/>
          </w:rPr>
          <w:t xml:space="preserve"> </w:t>
        </w:r>
        <w:smartTag w:uri="urn:schemas-microsoft-com:office:smarttags" w:element="PlaceType">
          <w:r w:rsidRPr="00BD4C0C">
            <w:rPr>
              <w:rFonts w:ascii="Verdana" w:eastAsia="Times New Roman" w:hAnsi="Verdana" w:cs="Times New Roman"/>
              <w:sz w:val="24"/>
              <w:szCs w:val="24"/>
              <w:lang w:eastAsia="en-GB"/>
            </w:rPr>
            <w:t>County</w:t>
          </w:r>
        </w:smartTag>
      </w:smartTag>
      <w:r w:rsidRPr="00BD4C0C">
        <w:rPr>
          <w:rFonts w:ascii="Verdana" w:eastAsia="Times New Roman" w:hAnsi="Verdana" w:cs="Times New Roman"/>
          <w:sz w:val="24"/>
          <w:szCs w:val="24"/>
          <w:lang w:eastAsia="en-GB"/>
        </w:rPr>
        <w:t xml:space="preserve"> Borough Council</w:t>
      </w:r>
    </w:p>
    <w:p w:rsidR="00BD4C0C" w:rsidRDefault="00BD4C0C" w:rsidP="00BD4C0C">
      <w:pPr>
        <w:spacing w:before="120" w:after="0" w:line="240" w:lineRule="auto"/>
        <w:jc w:val="center"/>
        <w:rPr>
          <w:rFonts w:ascii="Verdana" w:eastAsia="Times New Roman" w:hAnsi="Verdana" w:cs="Times New Roman"/>
          <w:sz w:val="28"/>
          <w:szCs w:val="28"/>
          <w:lang w:eastAsia="en-GB"/>
        </w:rPr>
      </w:pPr>
      <w:r>
        <w:rPr>
          <w:rFonts w:ascii="Verdana" w:eastAsia="Times New Roman" w:hAnsi="Verdana" w:cs="Times New Roman"/>
          <w:sz w:val="28"/>
          <w:szCs w:val="28"/>
          <w:lang w:eastAsia="en-GB"/>
        </w:rPr>
        <w:t>Children’s Residential Remodelling Project -</w:t>
      </w:r>
    </w:p>
    <w:p w:rsidR="00BD4C0C" w:rsidRPr="00BD4C0C" w:rsidRDefault="00385850" w:rsidP="00BD4C0C">
      <w:pPr>
        <w:spacing w:before="120" w:after="0" w:line="240" w:lineRule="auto"/>
        <w:jc w:val="center"/>
        <w:rPr>
          <w:rFonts w:ascii="Verdana" w:eastAsia="Times New Roman" w:hAnsi="Verdana" w:cs="Times New Roman"/>
          <w:sz w:val="28"/>
          <w:szCs w:val="28"/>
          <w:lang w:eastAsia="en-GB"/>
        </w:rPr>
      </w:pPr>
      <w:r>
        <w:rPr>
          <w:rFonts w:ascii="Verdana" w:eastAsia="Times New Roman" w:hAnsi="Verdana" w:cs="Times New Roman"/>
          <w:sz w:val="28"/>
          <w:szCs w:val="28"/>
          <w:lang w:eastAsia="en-GB"/>
        </w:rPr>
        <w:t>Stakeholder Engagement</w:t>
      </w:r>
    </w:p>
    <w:p w:rsidR="00BD4C0C" w:rsidRDefault="00BD4C0C"/>
    <w:p w:rsidR="00A362F1" w:rsidRDefault="00A362F1"/>
    <w:p w:rsidR="00776380" w:rsidRDefault="00776380">
      <w:r>
        <w:t xml:space="preserve">Following an analysis of our currents service provision and engagement with a wide range of stakeholders, BCBC have developed a proposal for remodelling the children’s residential services delivered by the county. </w:t>
      </w:r>
      <w:r w:rsidR="00866AB4">
        <w:t xml:space="preserve">The proposed model aims to increase the number of placement options available and achieve the best outcomes possible for the young people being supported. </w:t>
      </w:r>
    </w:p>
    <w:p w:rsidR="00866AB4" w:rsidRDefault="00866AB4">
      <w:r>
        <w:t>The proposed model consists of:</w:t>
      </w:r>
    </w:p>
    <w:p w:rsidR="00866AB4" w:rsidRDefault="00866AB4" w:rsidP="00866AB4">
      <w:pPr>
        <w:pStyle w:val="ListParagraph"/>
        <w:numPr>
          <w:ilvl w:val="0"/>
          <w:numId w:val="3"/>
        </w:numPr>
      </w:pPr>
      <w:r>
        <w:t>A Hub – consisting of two emergency beds and four short-term/assessment beds</w:t>
      </w:r>
    </w:p>
    <w:p w:rsidR="00866AB4" w:rsidRDefault="00866AB4" w:rsidP="00866AB4">
      <w:pPr>
        <w:pStyle w:val="ListParagraph"/>
        <w:numPr>
          <w:ilvl w:val="0"/>
          <w:numId w:val="3"/>
        </w:numPr>
      </w:pPr>
      <w:r>
        <w:t>A four-bed Medium-Term Residential Unit</w:t>
      </w:r>
    </w:p>
    <w:p w:rsidR="00866AB4" w:rsidRDefault="00866AB4" w:rsidP="00866AB4">
      <w:pPr>
        <w:pStyle w:val="ListParagraph"/>
        <w:numPr>
          <w:ilvl w:val="0"/>
          <w:numId w:val="3"/>
        </w:numPr>
      </w:pPr>
      <w:r>
        <w:t>A Transitional Carers service</w:t>
      </w:r>
    </w:p>
    <w:p w:rsidR="00866AB4" w:rsidRDefault="00866AB4" w:rsidP="00866AB4">
      <w:pPr>
        <w:pStyle w:val="ListParagraph"/>
        <w:numPr>
          <w:ilvl w:val="0"/>
          <w:numId w:val="3"/>
        </w:numPr>
      </w:pPr>
      <w:r>
        <w:t>An externally commissioned Supported Lodgings service</w:t>
      </w:r>
    </w:p>
    <w:p w:rsidR="00866AB4" w:rsidRDefault="00866AB4" w:rsidP="00866AB4">
      <w:pPr>
        <w:pStyle w:val="ListParagraph"/>
        <w:numPr>
          <w:ilvl w:val="0"/>
          <w:numId w:val="3"/>
        </w:numPr>
      </w:pPr>
      <w:r>
        <w:t xml:space="preserve">A Supported Living service </w:t>
      </w:r>
    </w:p>
    <w:p w:rsidR="00866AB4" w:rsidRDefault="00866AB4" w:rsidP="00866AB4">
      <w:r>
        <w:t>A comparison of how the current model compares with the proposed model in terms of number of placements available is detailed below:</w:t>
      </w:r>
    </w:p>
    <w:tbl>
      <w:tblPr>
        <w:tblStyle w:val="TableGrid"/>
        <w:tblW w:w="9464" w:type="dxa"/>
        <w:tblLayout w:type="fixed"/>
        <w:tblLook w:val="04A0" w:firstRow="1" w:lastRow="0" w:firstColumn="1" w:lastColumn="0" w:noHBand="0" w:noVBand="1"/>
      </w:tblPr>
      <w:tblGrid>
        <w:gridCol w:w="1066"/>
        <w:gridCol w:w="1594"/>
        <w:gridCol w:w="1701"/>
        <w:gridCol w:w="2126"/>
        <w:gridCol w:w="1276"/>
        <w:gridCol w:w="1701"/>
      </w:tblGrid>
      <w:tr w:rsidR="00866AB4" w:rsidTr="00866AB4">
        <w:tc>
          <w:tcPr>
            <w:tcW w:w="1066" w:type="dxa"/>
          </w:tcPr>
          <w:p w:rsidR="00866AB4" w:rsidRDefault="00866AB4" w:rsidP="00866AB4"/>
        </w:tc>
        <w:tc>
          <w:tcPr>
            <w:tcW w:w="1594" w:type="dxa"/>
          </w:tcPr>
          <w:p w:rsidR="00866AB4" w:rsidRDefault="00866AB4" w:rsidP="00866AB4">
            <w:r>
              <w:t>Emergency residential</w:t>
            </w:r>
          </w:p>
        </w:tc>
        <w:tc>
          <w:tcPr>
            <w:tcW w:w="1701" w:type="dxa"/>
          </w:tcPr>
          <w:p w:rsidR="00866AB4" w:rsidRDefault="00866AB4" w:rsidP="00866AB4">
            <w:r>
              <w:t>Other residential beds</w:t>
            </w:r>
          </w:p>
        </w:tc>
        <w:tc>
          <w:tcPr>
            <w:tcW w:w="2126" w:type="dxa"/>
          </w:tcPr>
          <w:p w:rsidR="00866AB4" w:rsidRDefault="00866AB4" w:rsidP="00866AB4">
            <w:r>
              <w:t xml:space="preserve">Transitional carers </w:t>
            </w:r>
          </w:p>
        </w:tc>
        <w:tc>
          <w:tcPr>
            <w:tcW w:w="1276" w:type="dxa"/>
          </w:tcPr>
          <w:p w:rsidR="00866AB4" w:rsidRDefault="00866AB4" w:rsidP="00866AB4">
            <w:r>
              <w:t>Supported lodgings</w:t>
            </w:r>
          </w:p>
        </w:tc>
        <w:tc>
          <w:tcPr>
            <w:tcW w:w="1701" w:type="dxa"/>
          </w:tcPr>
          <w:p w:rsidR="00866AB4" w:rsidRDefault="00866AB4" w:rsidP="00866AB4">
            <w:r>
              <w:t xml:space="preserve">Supported living (for LAC) </w:t>
            </w:r>
          </w:p>
        </w:tc>
      </w:tr>
      <w:tr w:rsidR="00866AB4" w:rsidTr="00866AB4">
        <w:tc>
          <w:tcPr>
            <w:tcW w:w="1066" w:type="dxa"/>
          </w:tcPr>
          <w:p w:rsidR="00866AB4" w:rsidRDefault="00866AB4" w:rsidP="00866AB4">
            <w:r>
              <w:t>Current</w:t>
            </w:r>
          </w:p>
        </w:tc>
        <w:tc>
          <w:tcPr>
            <w:tcW w:w="1594" w:type="dxa"/>
          </w:tcPr>
          <w:p w:rsidR="00866AB4" w:rsidRDefault="00866AB4" w:rsidP="00866AB4">
            <w:r>
              <w:t>0</w:t>
            </w:r>
          </w:p>
        </w:tc>
        <w:tc>
          <w:tcPr>
            <w:tcW w:w="1701" w:type="dxa"/>
          </w:tcPr>
          <w:p w:rsidR="00866AB4" w:rsidRDefault="00866AB4" w:rsidP="00866AB4">
            <w:r>
              <w:t>10</w:t>
            </w:r>
          </w:p>
        </w:tc>
        <w:tc>
          <w:tcPr>
            <w:tcW w:w="2126" w:type="dxa"/>
          </w:tcPr>
          <w:p w:rsidR="00866AB4" w:rsidRDefault="00866AB4" w:rsidP="00866AB4">
            <w:r>
              <w:t>0</w:t>
            </w:r>
          </w:p>
        </w:tc>
        <w:tc>
          <w:tcPr>
            <w:tcW w:w="1276" w:type="dxa"/>
          </w:tcPr>
          <w:p w:rsidR="00866AB4" w:rsidRDefault="00866AB4" w:rsidP="00866AB4">
            <w:r>
              <w:t>8</w:t>
            </w:r>
          </w:p>
        </w:tc>
        <w:tc>
          <w:tcPr>
            <w:tcW w:w="1701" w:type="dxa"/>
          </w:tcPr>
          <w:p w:rsidR="00866AB4" w:rsidRDefault="00866AB4" w:rsidP="00866AB4">
            <w:r>
              <w:t>0</w:t>
            </w:r>
          </w:p>
        </w:tc>
      </w:tr>
      <w:tr w:rsidR="00866AB4" w:rsidTr="00866AB4">
        <w:tc>
          <w:tcPr>
            <w:tcW w:w="1066" w:type="dxa"/>
          </w:tcPr>
          <w:p w:rsidR="00866AB4" w:rsidRDefault="00866AB4" w:rsidP="00866AB4">
            <w:r>
              <w:t>Proposed</w:t>
            </w:r>
          </w:p>
        </w:tc>
        <w:tc>
          <w:tcPr>
            <w:tcW w:w="1594" w:type="dxa"/>
          </w:tcPr>
          <w:p w:rsidR="00866AB4" w:rsidRDefault="00866AB4" w:rsidP="00866AB4">
            <w:r>
              <w:t>2</w:t>
            </w:r>
          </w:p>
        </w:tc>
        <w:tc>
          <w:tcPr>
            <w:tcW w:w="1701" w:type="dxa"/>
          </w:tcPr>
          <w:p w:rsidR="00866AB4" w:rsidRDefault="00866AB4" w:rsidP="00866AB4">
            <w:r>
              <w:t>8</w:t>
            </w:r>
          </w:p>
        </w:tc>
        <w:tc>
          <w:tcPr>
            <w:tcW w:w="2126" w:type="dxa"/>
          </w:tcPr>
          <w:p w:rsidR="00866AB4" w:rsidRDefault="00866AB4" w:rsidP="00866AB4">
            <w:r>
              <w:t>6</w:t>
            </w:r>
            <w:r w:rsidR="000D1200">
              <w:t>+</w:t>
            </w:r>
          </w:p>
        </w:tc>
        <w:tc>
          <w:tcPr>
            <w:tcW w:w="1276" w:type="dxa"/>
          </w:tcPr>
          <w:p w:rsidR="00866AB4" w:rsidRDefault="00866AB4" w:rsidP="00866AB4">
            <w:r>
              <w:t>10</w:t>
            </w:r>
            <w:r w:rsidR="000D1200">
              <w:t>+</w:t>
            </w:r>
          </w:p>
        </w:tc>
        <w:tc>
          <w:tcPr>
            <w:tcW w:w="1701" w:type="dxa"/>
          </w:tcPr>
          <w:p w:rsidR="00866AB4" w:rsidRDefault="00866AB4" w:rsidP="00866AB4">
            <w:r>
              <w:t>4-6</w:t>
            </w:r>
          </w:p>
        </w:tc>
      </w:tr>
    </w:tbl>
    <w:p w:rsidR="00866AB4" w:rsidRDefault="00866AB4" w:rsidP="00866AB4">
      <w:pPr>
        <w:spacing w:after="0"/>
      </w:pPr>
    </w:p>
    <w:p w:rsidR="00866AB4" w:rsidRDefault="00866AB4" w:rsidP="00866AB4">
      <w:pPr>
        <w:spacing w:after="0"/>
      </w:pPr>
      <w:r>
        <w:t>Other important changes that the proposed model will facilitate include:</w:t>
      </w:r>
    </w:p>
    <w:p w:rsidR="00866AB4" w:rsidRDefault="00866AB4" w:rsidP="00866AB4">
      <w:pPr>
        <w:pStyle w:val="ListParagraph"/>
        <w:numPr>
          <w:ilvl w:val="0"/>
          <w:numId w:val="4"/>
        </w:numPr>
        <w:spacing w:after="0"/>
      </w:pPr>
      <w:r>
        <w:t>An increase in the amount of time residential workers spend undertaking outreach work to support placements/prevent placement breakdown</w:t>
      </w:r>
    </w:p>
    <w:p w:rsidR="000D1200" w:rsidRDefault="000D1200" w:rsidP="00866AB4">
      <w:pPr>
        <w:pStyle w:val="ListParagraph"/>
        <w:numPr>
          <w:ilvl w:val="0"/>
          <w:numId w:val="4"/>
        </w:numPr>
        <w:spacing w:after="0"/>
      </w:pPr>
      <w:r>
        <w:t>The introduction of a single therapeutic model of support delive</w:t>
      </w:r>
      <w:r w:rsidR="00B31027">
        <w:t xml:space="preserve">red across all service elements, which will be supported by internal therapeutic staff </w:t>
      </w:r>
    </w:p>
    <w:p w:rsidR="000D1200" w:rsidRDefault="000D1200" w:rsidP="000D1200">
      <w:pPr>
        <w:pStyle w:val="ListParagraph"/>
        <w:numPr>
          <w:ilvl w:val="0"/>
          <w:numId w:val="4"/>
        </w:numPr>
        <w:spacing w:after="0"/>
      </w:pPr>
      <w:r>
        <w:t xml:space="preserve">The </w:t>
      </w:r>
      <w:r w:rsidR="00B31027">
        <w:t xml:space="preserve">delivery </w:t>
      </w:r>
      <w:r>
        <w:t xml:space="preserve">of in-house education </w:t>
      </w:r>
      <w:r w:rsidR="00B31027">
        <w:t>for the</w:t>
      </w:r>
      <w:r>
        <w:t xml:space="preserve"> young people in placements</w:t>
      </w:r>
      <w:r w:rsidR="00B31027">
        <w:t xml:space="preserve"> that are not currently attending education in school</w:t>
      </w:r>
    </w:p>
    <w:p w:rsidR="000D1200" w:rsidRDefault="000D1200" w:rsidP="00866AB4">
      <w:pPr>
        <w:pStyle w:val="ListParagraph"/>
        <w:numPr>
          <w:ilvl w:val="0"/>
          <w:numId w:val="4"/>
        </w:numPr>
        <w:spacing w:after="0"/>
      </w:pPr>
      <w:r>
        <w:t>The transfer of the Supported Lodgings service to an external provider with experience of delivering and supporting Supported Lodgings services and achieving outcomes for young people.</w:t>
      </w:r>
    </w:p>
    <w:p w:rsidR="000D1200" w:rsidRDefault="000D1200" w:rsidP="000D1200">
      <w:pPr>
        <w:spacing w:after="0"/>
      </w:pPr>
    </w:p>
    <w:p w:rsidR="000D1200" w:rsidRDefault="000D1200" w:rsidP="000D1200">
      <w:pPr>
        <w:spacing w:after="0"/>
      </w:pPr>
      <w:r>
        <w:t>A full description of each service element included in the proposed model is detailed below.</w:t>
      </w:r>
    </w:p>
    <w:p w:rsidR="000D1200" w:rsidRDefault="000D1200" w:rsidP="000D1200">
      <w:pPr>
        <w:spacing w:after="0"/>
      </w:pPr>
    </w:p>
    <w:p w:rsidR="000D1200" w:rsidRDefault="000D1200" w:rsidP="000D1200">
      <w:pPr>
        <w:spacing w:after="0"/>
      </w:pPr>
    </w:p>
    <w:p w:rsidR="000D1200" w:rsidRDefault="000D1200" w:rsidP="000D1200">
      <w:pPr>
        <w:spacing w:after="0"/>
      </w:pPr>
    </w:p>
    <w:p w:rsidR="000D1200" w:rsidRDefault="000D1200" w:rsidP="000D1200">
      <w:pPr>
        <w:spacing w:after="0"/>
      </w:pPr>
    </w:p>
    <w:p w:rsidR="000D1200" w:rsidRDefault="000D1200" w:rsidP="000D1200">
      <w:pPr>
        <w:spacing w:after="0"/>
      </w:pPr>
    </w:p>
    <w:p w:rsidR="000D1200" w:rsidRDefault="000D1200" w:rsidP="000D1200">
      <w:pPr>
        <w:spacing w:after="0"/>
      </w:pPr>
    </w:p>
    <w:tbl>
      <w:tblPr>
        <w:tblStyle w:val="TableGrid"/>
        <w:tblW w:w="0" w:type="auto"/>
        <w:tblLook w:val="04A0" w:firstRow="1" w:lastRow="0" w:firstColumn="1" w:lastColumn="0" w:noHBand="0" w:noVBand="1"/>
      </w:tblPr>
      <w:tblGrid>
        <w:gridCol w:w="9242"/>
      </w:tblGrid>
      <w:tr w:rsidR="00161131" w:rsidRPr="007B253C" w:rsidTr="007B253C">
        <w:tc>
          <w:tcPr>
            <w:tcW w:w="9242" w:type="dxa"/>
            <w:shd w:val="clear" w:color="auto" w:fill="C6D9F1" w:themeFill="text2" w:themeFillTint="33"/>
          </w:tcPr>
          <w:p w:rsidR="00161131" w:rsidRPr="00DD07EB" w:rsidRDefault="00161131">
            <w:pPr>
              <w:rPr>
                <w:rFonts w:ascii="Verdana" w:hAnsi="Verdana"/>
                <w:b/>
                <w:sz w:val="24"/>
              </w:rPr>
            </w:pPr>
            <w:r w:rsidRPr="00DD07EB">
              <w:rPr>
                <w:rFonts w:ascii="Verdana" w:hAnsi="Verdana"/>
                <w:b/>
                <w:sz w:val="24"/>
              </w:rPr>
              <w:lastRenderedPageBreak/>
              <w:t>Service: The Hub</w:t>
            </w:r>
          </w:p>
        </w:tc>
      </w:tr>
      <w:tr w:rsidR="00161131" w:rsidRPr="007B253C" w:rsidTr="00796F94">
        <w:tc>
          <w:tcPr>
            <w:tcW w:w="9242" w:type="dxa"/>
            <w:tcBorders>
              <w:bottom w:val="single" w:sz="4" w:space="0" w:color="auto"/>
            </w:tcBorders>
          </w:tcPr>
          <w:p w:rsidR="00DD07EB" w:rsidRDefault="00DD07EB" w:rsidP="00DD07EB"/>
          <w:p w:rsidR="00DD07EB" w:rsidRDefault="00DD07EB" w:rsidP="00DD07EB">
            <w:pPr>
              <w:ind w:left="996" w:hangingChars="451" w:hanging="996"/>
            </w:pPr>
            <w:r w:rsidRPr="00DD07EB">
              <w:rPr>
                <w:b/>
              </w:rPr>
              <w:t>Overview:</w:t>
            </w:r>
            <w:r>
              <w:t xml:space="preserve"> The Hub will be a residential property consisting of two emergency beds and four short-term/assessment beds. The property will be staffed 24/7 and staff will also provide outreach support to young people, families and carers. The Therapeutic Staff Team will be based at The Hub part-time to ensure the therapeutic needs of the residents are met. There will be space for education and therapeutic interventions to be delivered at The Hub. </w:t>
            </w:r>
          </w:p>
          <w:p w:rsidR="00DD07EB" w:rsidRDefault="00DD07EB" w:rsidP="00DD07EB"/>
          <w:p w:rsidR="00DD07EB" w:rsidRDefault="00DD07EB" w:rsidP="00DD07EB">
            <w:pPr>
              <w:ind w:left="1992" w:hangingChars="902" w:hanging="1992"/>
            </w:pPr>
            <w:r w:rsidRPr="00DD07EB">
              <w:rPr>
                <w:b/>
              </w:rPr>
              <w:t>Length of placement:</w:t>
            </w:r>
            <w:r>
              <w:t xml:space="preserve"> The maximum stay for an emergency placement will be 72 working hours. The short-term/assessment placements will be for up to 6 months.</w:t>
            </w:r>
          </w:p>
          <w:p w:rsidR="00DD07EB" w:rsidRDefault="00DD07EB" w:rsidP="00DD07EB"/>
          <w:p w:rsidR="00DD07EB" w:rsidRDefault="00DD07EB" w:rsidP="00DD07EB">
            <w:r w:rsidRPr="00DD07EB">
              <w:rPr>
                <w:b/>
              </w:rPr>
              <w:t>Age range:</w:t>
            </w:r>
            <w:r>
              <w:t xml:space="preserve"> 11-17 (maximum four years difference between the youngest and oldest residents)</w:t>
            </w:r>
          </w:p>
          <w:p w:rsidR="00DD07EB" w:rsidRDefault="00DD07EB" w:rsidP="00DD07EB"/>
          <w:p w:rsidR="00DD07EB" w:rsidRDefault="00DD07EB" w:rsidP="00DD07EB">
            <w:r w:rsidRPr="00DD07EB">
              <w:rPr>
                <w:b/>
              </w:rPr>
              <w:t>Legal status:</w:t>
            </w:r>
            <w:r>
              <w:t xml:space="preserve"> LAC only </w:t>
            </w:r>
          </w:p>
          <w:p w:rsidR="00DD07EB" w:rsidRDefault="00DD07EB" w:rsidP="00DD07EB"/>
          <w:p w:rsidR="00DD07EB" w:rsidRDefault="00DD07EB" w:rsidP="00DD07EB">
            <w:r w:rsidRPr="00DD07EB">
              <w:rPr>
                <w:b/>
              </w:rPr>
              <w:t>Move-on</w:t>
            </w:r>
            <w:r w:rsidRPr="009D3F3E">
              <w:rPr>
                <w:b/>
              </w:rPr>
              <w:t>:</w:t>
            </w:r>
            <w:r>
              <w:t xml:space="preserve"> Options for planned move-on from The Hub within this model include</w:t>
            </w:r>
          </w:p>
          <w:p w:rsidR="00DD07EB" w:rsidRDefault="00DD07EB" w:rsidP="00DD07EB">
            <w:pPr>
              <w:pStyle w:val="ListParagraph"/>
              <w:numPr>
                <w:ilvl w:val="0"/>
                <w:numId w:val="1"/>
              </w:numPr>
              <w:ind w:left="1276" w:hanging="283"/>
            </w:pPr>
            <w:r>
              <w:t>Medium-term residential unit</w:t>
            </w:r>
          </w:p>
          <w:p w:rsidR="00DD07EB" w:rsidRDefault="00DD07EB" w:rsidP="00DD07EB">
            <w:pPr>
              <w:pStyle w:val="ListParagraph"/>
              <w:numPr>
                <w:ilvl w:val="0"/>
                <w:numId w:val="1"/>
              </w:numPr>
              <w:ind w:left="1276" w:hanging="283"/>
            </w:pPr>
            <w:r>
              <w:t>Supported Lodgings</w:t>
            </w:r>
          </w:p>
          <w:p w:rsidR="00DD07EB" w:rsidRDefault="00DD07EB" w:rsidP="00DD07EB">
            <w:pPr>
              <w:pStyle w:val="ListParagraph"/>
              <w:numPr>
                <w:ilvl w:val="0"/>
                <w:numId w:val="1"/>
              </w:numPr>
              <w:ind w:left="1276" w:hanging="283"/>
            </w:pPr>
            <w:r>
              <w:t>Transitional Carer placements</w:t>
            </w:r>
          </w:p>
          <w:p w:rsidR="00DD07EB" w:rsidRDefault="00DD07EB" w:rsidP="00DD07EB">
            <w:pPr>
              <w:pStyle w:val="ListParagraph"/>
              <w:numPr>
                <w:ilvl w:val="0"/>
                <w:numId w:val="1"/>
              </w:numPr>
              <w:ind w:left="1276" w:hanging="283"/>
            </w:pPr>
            <w:r>
              <w:t>Supported Living</w:t>
            </w:r>
          </w:p>
          <w:p w:rsidR="00DD07EB" w:rsidRDefault="00DD07EB" w:rsidP="00DD07EB">
            <w:pPr>
              <w:pStyle w:val="ListParagraph"/>
              <w:numPr>
                <w:ilvl w:val="0"/>
                <w:numId w:val="1"/>
              </w:numPr>
              <w:ind w:left="1276" w:hanging="283"/>
            </w:pPr>
            <w:r>
              <w:t>Foster placement</w:t>
            </w:r>
          </w:p>
          <w:p w:rsidR="00DD07EB" w:rsidRDefault="00DD07EB" w:rsidP="00DD07EB">
            <w:pPr>
              <w:pStyle w:val="ListParagraph"/>
              <w:numPr>
                <w:ilvl w:val="0"/>
                <w:numId w:val="1"/>
              </w:numPr>
              <w:ind w:left="1276" w:hanging="283"/>
            </w:pPr>
            <w:r>
              <w:t>Independent accommodation</w:t>
            </w:r>
          </w:p>
          <w:p w:rsidR="00697063" w:rsidRDefault="00697063" w:rsidP="00DD07EB">
            <w:pPr>
              <w:pStyle w:val="ListParagraph"/>
              <w:numPr>
                <w:ilvl w:val="0"/>
                <w:numId w:val="1"/>
              </w:numPr>
              <w:ind w:left="1276" w:hanging="283"/>
            </w:pPr>
            <w:r>
              <w:t>Return home or to family members</w:t>
            </w:r>
          </w:p>
          <w:p w:rsidR="00161131" w:rsidRPr="007B253C" w:rsidRDefault="00161131">
            <w:pPr>
              <w:rPr>
                <w:rFonts w:ascii="Verdana" w:hAnsi="Verdana"/>
              </w:rPr>
            </w:pPr>
          </w:p>
        </w:tc>
      </w:tr>
      <w:tr w:rsidR="00161131" w:rsidRPr="007B253C" w:rsidTr="00796F94">
        <w:tc>
          <w:tcPr>
            <w:tcW w:w="9242" w:type="dxa"/>
            <w:tcBorders>
              <w:top w:val="single" w:sz="4" w:space="0" w:color="auto"/>
              <w:left w:val="nil"/>
              <w:bottom w:val="single" w:sz="4" w:space="0" w:color="auto"/>
              <w:right w:val="nil"/>
            </w:tcBorders>
          </w:tcPr>
          <w:p w:rsidR="00161131" w:rsidRDefault="00161131">
            <w:pPr>
              <w:rPr>
                <w:rFonts w:ascii="Verdana" w:hAnsi="Verdana"/>
              </w:rPr>
            </w:pPr>
          </w:p>
          <w:p w:rsidR="00FD65E4" w:rsidRPr="007B253C" w:rsidRDefault="00FD65E4">
            <w:pPr>
              <w:rPr>
                <w:rFonts w:ascii="Verdana" w:hAnsi="Verdana"/>
              </w:rPr>
            </w:pPr>
          </w:p>
        </w:tc>
      </w:tr>
      <w:tr w:rsidR="00161131" w:rsidRPr="007B253C" w:rsidTr="00796F94">
        <w:tc>
          <w:tcPr>
            <w:tcW w:w="9242" w:type="dxa"/>
            <w:tcBorders>
              <w:top w:val="single" w:sz="4" w:space="0" w:color="auto"/>
            </w:tcBorders>
            <w:shd w:val="clear" w:color="auto" w:fill="C6D9F1" w:themeFill="text2" w:themeFillTint="33"/>
          </w:tcPr>
          <w:p w:rsidR="00161131" w:rsidRPr="00796F94" w:rsidRDefault="00796F94">
            <w:pPr>
              <w:rPr>
                <w:rFonts w:ascii="Verdana" w:hAnsi="Verdana"/>
                <w:b/>
                <w:sz w:val="24"/>
              </w:rPr>
            </w:pPr>
            <w:r>
              <w:rPr>
                <w:rFonts w:ascii="Verdana" w:hAnsi="Verdana"/>
                <w:b/>
                <w:sz w:val="24"/>
              </w:rPr>
              <w:t>Service: Medium-Term Residential Unit</w:t>
            </w:r>
          </w:p>
        </w:tc>
      </w:tr>
      <w:tr w:rsidR="00161131" w:rsidRPr="007B253C" w:rsidTr="00FD65E4">
        <w:tc>
          <w:tcPr>
            <w:tcW w:w="9242" w:type="dxa"/>
            <w:tcBorders>
              <w:bottom w:val="single" w:sz="4" w:space="0" w:color="auto"/>
            </w:tcBorders>
          </w:tcPr>
          <w:p w:rsidR="00796F94" w:rsidRDefault="00796F94" w:rsidP="00796F94"/>
          <w:p w:rsidR="00796F94" w:rsidRDefault="00796F94" w:rsidP="000447E5">
            <w:pPr>
              <w:ind w:left="996" w:hangingChars="451" w:hanging="996"/>
            </w:pPr>
            <w:r w:rsidRPr="000447E5">
              <w:rPr>
                <w:b/>
              </w:rPr>
              <w:t>Overview:</w:t>
            </w:r>
            <w:r>
              <w:t xml:space="preserve"> The medium-term residential unit will consist of four beds for children and young people that need support for a longer period of time than those placed in The Hub. Children and young people placed in this unit will also be able to access the therapeutic interventions and education provided through The Hub. The medium-term unit will be based at Sunnybank. </w:t>
            </w:r>
          </w:p>
          <w:p w:rsidR="00796F94" w:rsidRDefault="00796F94" w:rsidP="00796F94"/>
          <w:p w:rsidR="00796F94" w:rsidRDefault="00796F94" w:rsidP="00796F94">
            <w:r w:rsidRPr="000447E5">
              <w:rPr>
                <w:b/>
              </w:rPr>
              <w:t>Length of placement:</w:t>
            </w:r>
            <w:r>
              <w:t xml:space="preserve"> Placements in this unit will be for up to 5 years in line with care planning.</w:t>
            </w:r>
          </w:p>
          <w:p w:rsidR="00796F94" w:rsidRDefault="00796F94" w:rsidP="00796F94"/>
          <w:p w:rsidR="00796F94" w:rsidRDefault="00796F94" w:rsidP="00796F94">
            <w:r w:rsidRPr="000447E5">
              <w:rPr>
                <w:b/>
              </w:rPr>
              <w:t>Age range:</w:t>
            </w:r>
            <w:r>
              <w:t xml:space="preserve"> 11-17 (maximum four years difference between the youngest and oldest residents)</w:t>
            </w:r>
          </w:p>
          <w:p w:rsidR="00796F94" w:rsidRDefault="00796F94" w:rsidP="00796F94"/>
          <w:p w:rsidR="00796F94" w:rsidRDefault="00796F94" w:rsidP="00796F94">
            <w:r w:rsidRPr="000447E5">
              <w:rPr>
                <w:b/>
              </w:rPr>
              <w:t>Legal status:</w:t>
            </w:r>
            <w:r>
              <w:t xml:space="preserve"> LAC only </w:t>
            </w:r>
          </w:p>
          <w:p w:rsidR="00796F94" w:rsidRDefault="00796F94" w:rsidP="00796F94"/>
          <w:p w:rsidR="00796F94" w:rsidRDefault="00796F94" w:rsidP="000447E5">
            <w:pPr>
              <w:ind w:left="992" w:hangingChars="449" w:hanging="992"/>
            </w:pPr>
            <w:r w:rsidRPr="000447E5">
              <w:rPr>
                <w:b/>
              </w:rPr>
              <w:t>Move-on:</w:t>
            </w:r>
            <w:r>
              <w:t xml:space="preserve"> Options for planned move-on from the Medium-Term Residential Unit within this model include</w:t>
            </w:r>
          </w:p>
          <w:p w:rsidR="00796F94" w:rsidRDefault="00796F94" w:rsidP="000447E5">
            <w:pPr>
              <w:pStyle w:val="ListParagraph"/>
              <w:numPr>
                <w:ilvl w:val="0"/>
                <w:numId w:val="1"/>
              </w:numPr>
              <w:ind w:left="1276" w:hanging="218"/>
            </w:pPr>
            <w:r>
              <w:t>Supported Lodgings</w:t>
            </w:r>
          </w:p>
          <w:p w:rsidR="00796F94" w:rsidRDefault="00796F94" w:rsidP="000447E5">
            <w:pPr>
              <w:pStyle w:val="ListParagraph"/>
              <w:numPr>
                <w:ilvl w:val="0"/>
                <w:numId w:val="1"/>
              </w:numPr>
              <w:ind w:left="1276" w:hanging="218"/>
            </w:pPr>
            <w:r>
              <w:t>Transitional Carer placements</w:t>
            </w:r>
          </w:p>
          <w:p w:rsidR="00796F94" w:rsidRDefault="00796F94" w:rsidP="000447E5">
            <w:pPr>
              <w:pStyle w:val="ListParagraph"/>
              <w:numPr>
                <w:ilvl w:val="0"/>
                <w:numId w:val="1"/>
              </w:numPr>
              <w:ind w:left="1276" w:hanging="218"/>
            </w:pPr>
            <w:r>
              <w:t>Supported Living</w:t>
            </w:r>
          </w:p>
          <w:p w:rsidR="00796F94" w:rsidRDefault="00796F94" w:rsidP="000447E5">
            <w:pPr>
              <w:pStyle w:val="ListParagraph"/>
              <w:numPr>
                <w:ilvl w:val="0"/>
                <w:numId w:val="1"/>
              </w:numPr>
              <w:ind w:left="1276" w:hanging="218"/>
            </w:pPr>
            <w:r>
              <w:t>Foster placement</w:t>
            </w:r>
          </w:p>
          <w:p w:rsidR="00796F94" w:rsidRDefault="00796F94" w:rsidP="000447E5">
            <w:pPr>
              <w:pStyle w:val="ListParagraph"/>
              <w:numPr>
                <w:ilvl w:val="0"/>
                <w:numId w:val="1"/>
              </w:numPr>
              <w:ind w:left="1276" w:hanging="218"/>
            </w:pPr>
            <w:r>
              <w:t>Independent accommodation</w:t>
            </w:r>
          </w:p>
          <w:p w:rsidR="00697063" w:rsidRDefault="00697063" w:rsidP="000447E5">
            <w:pPr>
              <w:pStyle w:val="ListParagraph"/>
              <w:numPr>
                <w:ilvl w:val="0"/>
                <w:numId w:val="1"/>
              </w:numPr>
              <w:ind w:left="1276" w:hanging="218"/>
            </w:pPr>
            <w:r>
              <w:t>Return home or to family members</w:t>
            </w:r>
          </w:p>
          <w:p w:rsidR="00161131" w:rsidRPr="007B253C" w:rsidRDefault="00161131">
            <w:pPr>
              <w:rPr>
                <w:rFonts w:ascii="Verdana" w:hAnsi="Verdana"/>
              </w:rPr>
            </w:pPr>
          </w:p>
        </w:tc>
      </w:tr>
      <w:tr w:rsidR="00161131" w:rsidRPr="007B253C" w:rsidTr="00FD65E4">
        <w:tc>
          <w:tcPr>
            <w:tcW w:w="9242" w:type="dxa"/>
            <w:tcBorders>
              <w:top w:val="single" w:sz="4" w:space="0" w:color="auto"/>
              <w:left w:val="nil"/>
              <w:bottom w:val="single" w:sz="4" w:space="0" w:color="auto"/>
              <w:right w:val="nil"/>
            </w:tcBorders>
          </w:tcPr>
          <w:p w:rsidR="00161131" w:rsidRDefault="00161131">
            <w:pPr>
              <w:rPr>
                <w:rFonts w:ascii="Verdana" w:hAnsi="Verdana"/>
              </w:rPr>
            </w:pPr>
          </w:p>
          <w:p w:rsidR="00FD65E4" w:rsidRPr="007B253C" w:rsidRDefault="00FD65E4">
            <w:pPr>
              <w:rPr>
                <w:rFonts w:ascii="Verdana" w:hAnsi="Verdana"/>
              </w:rPr>
            </w:pPr>
          </w:p>
        </w:tc>
      </w:tr>
      <w:tr w:rsidR="00161131" w:rsidRPr="007B253C" w:rsidTr="00FD65E4">
        <w:tc>
          <w:tcPr>
            <w:tcW w:w="9242" w:type="dxa"/>
            <w:tcBorders>
              <w:top w:val="single" w:sz="4" w:space="0" w:color="auto"/>
            </w:tcBorders>
            <w:shd w:val="clear" w:color="auto" w:fill="C6D9F1" w:themeFill="text2" w:themeFillTint="33"/>
          </w:tcPr>
          <w:p w:rsidR="00161131" w:rsidRPr="00FD65E4" w:rsidRDefault="00FD65E4">
            <w:pPr>
              <w:rPr>
                <w:rFonts w:ascii="Verdana" w:hAnsi="Verdana"/>
                <w:b/>
                <w:sz w:val="24"/>
              </w:rPr>
            </w:pPr>
            <w:r>
              <w:rPr>
                <w:rFonts w:ascii="Verdana" w:hAnsi="Verdana"/>
                <w:b/>
                <w:sz w:val="24"/>
              </w:rPr>
              <w:t>Service: Transitional Carers</w:t>
            </w:r>
          </w:p>
        </w:tc>
      </w:tr>
      <w:tr w:rsidR="00161131" w:rsidRPr="007B253C" w:rsidTr="009D3F3E">
        <w:tc>
          <w:tcPr>
            <w:tcW w:w="9242" w:type="dxa"/>
            <w:tcBorders>
              <w:bottom w:val="single" w:sz="4" w:space="0" w:color="auto"/>
            </w:tcBorders>
          </w:tcPr>
          <w:p w:rsidR="009D3F3E" w:rsidRDefault="009D3F3E" w:rsidP="009D3F3E">
            <w:pPr>
              <w:ind w:left="992" w:hangingChars="451" w:hanging="992"/>
            </w:pPr>
          </w:p>
          <w:p w:rsidR="00FD65E4" w:rsidRDefault="00FD65E4" w:rsidP="009D3F3E">
            <w:pPr>
              <w:ind w:left="996" w:hangingChars="451" w:hanging="996"/>
            </w:pPr>
            <w:r w:rsidRPr="009D3F3E">
              <w:rPr>
                <w:b/>
              </w:rPr>
              <w:t>Overview:</w:t>
            </w:r>
            <w:r>
              <w:t xml:space="preserve"> Six transitional Carers will be recruited to act as an intensive step-down placement option for children and young people moving on from the residential units. They will support them through the transition from a residential to a family placement before they are placed long-term in order to reduce the risk of multiple family placement breakdowns. The Transitional Carers will be therapeutically trained and will be paid a higher fee than current band three foster carers. The Transitional Carers will have one individual or one sibling group placed at a time. At any one time, only four of the six transitional carers will have placements; the other two will be available to provide support to the four carers with placements or to provide respite/emergency placeme</w:t>
            </w:r>
            <w:r w:rsidR="00776380">
              <w:t>nts as needed.</w:t>
            </w:r>
          </w:p>
          <w:p w:rsidR="009D3F3E" w:rsidRDefault="009D3F3E" w:rsidP="00FD65E4"/>
          <w:p w:rsidR="009D3F3E" w:rsidRDefault="00FD65E4" w:rsidP="00FD65E4">
            <w:r w:rsidRPr="009D3F3E">
              <w:rPr>
                <w:b/>
              </w:rPr>
              <w:t>Length of placement:</w:t>
            </w:r>
            <w:r>
              <w:t xml:space="preserve"> Placements with Transitional Carers will be for up to 24 weeks.</w:t>
            </w:r>
          </w:p>
          <w:p w:rsidR="00FD65E4" w:rsidRDefault="00FD65E4" w:rsidP="00FD65E4">
            <w:r>
              <w:t xml:space="preserve"> </w:t>
            </w:r>
          </w:p>
          <w:p w:rsidR="00FD65E4" w:rsidRDefault="00FD65E4" w:rsidP="00FD65E4">
            <w:r w:rsidRPr="009D3F3E">
              <w:rPr>
                <w:b/>
              </w:rPr>
              <w:t>Age range:</w:t>
            </w:r>
            <w:r>
              <w:t xml:space="preserve"> Up to 17</w:t>
            </w:r>
          </w:p>
          <w:p w:rsidR="009D3F3E" w:rsidRDefault="009D3F3E" w:rsidP="00FD65E4"/>
          <w:p w:rsidR="009D3F3E" w:rsidRDefault="00FD65E4" w:rsidP="00FD65E4">
            <w:r w:rsidRPr="009D3F3E">
              <w:rPr>
                <w:b/>
              </w:rPr>
              <w:t>Legal status:</w:t>
            </w:r>
            <w:r>
              <w:t xml:space="preserve"> LAC only </w:t>
            </w:r>
          </w:p>
          <w:p w:rsidR="009D3F3E" w:rsidRDefault="009D3F3E" w:rsidP="00FD65E4"/>
          <w:p w:rsidR="00FD65E4" w:rsidRDefault="009D3F3E" w:rsidP="009D3F3E">
            <w:pPr>
              <w:ind w:left="996" w:hangingChars="451" w:hanging="996"/>
            </w:pPr>
            <w:r w:rsidRPr="009D3F3E">
              <w:rPr>
                <w:b/>
              </w:rPr>
              <w:t>Move-on:</w:t>
            </w:r>
            <w:r>
              <w:t xml:space="preserve"> </w:t>
            </w:r>
            <w:r w:rsidR="00FD65E4">
              <w:t>Options for planned move-on from the Transitional Carer placements within this model include</w:t>
            </w:r>
          </w:p>
          <w:p w:rsidR="00FD65E4" w:rsidRDefault="00FD65E4" w:rsidP="009D3F3E">
            <w:pPr>
              <w:pStyle w:val="ListParagraph"/>
              <w:numPr>
                <w:ilvl w:val="0"/>
                <w:numId w:val="1"/>
              </w:numPr>
              <w:ind w:left="1276" w:hanging="218"/>
            </w:pPr>
            <w:r>
              <w:t>Supported Lodgings</w:t>
            </w:r>
          </w:p>
          <w:p w:rsidR="00FD65E4" w:rsidRDefault="00FD65E4" w:rsidP="009D3F3E">
            <w:pPr>
              <w:pStyle w:val="ListParagraph"/>
              <w:numPr>
                <w:ilvl w:val="0"/>
                <w:numId w:val="1"/>
              </w:numPr>
              <w:ind w:left="1276" w:hanging="218"/>
            </w:pPr>
            <w:r>
              <w:t>Supported Living</w:t>
            </w:r>
          </w:p>
          <w:p w:rsidR="00FD65E4" w:rsidRDefault="00FD65E4" w:rsidP="009D3F3E">
            <w:pPr>
              <w:pStyle w:val="ListParagraph"/>
              <w:numPr>
                <w:ilvl w:val="0"/>
                <w:numId w:val="1"/>
              </w:numPr>
              <w:ind w:left="1276" w:hanging="218"/>
            </w:pPr>
            <w:r>
              <w:t>Foster placement</w:t>
            </w:r>
          </w:p>
          <w:p w:rsidR="00FD65E4" w:rsidRDefault="00FD65E4" w:rsidP="009D3F3E">
            <w:pPr>
              <w:pStyle w:val="ListParagraph"/>
              <w:numPr>
                <w:ilvl w:val="0"/>
                <w:numId w:val="1"/>
              </w:numPr>
              <w:ind w:left="1276" w:hanging="218"/>
            </w:pPr>
            <w:r>
              <w:t>Independent accommodation</w:t>
            </w:r>
          </w:p>
          <w:p w:rsidR="00697063" w:rsidRDefault="00697063" w:rsidP="009D3F3E">
            <w:pPr>
              <w:pStyle w:val="ListParagraph"/>
              <w:numPr>
                <w:ilvl w:val="0"/>
                <w:numId w:val="1"/>
              </w:numPr>
              <w:ind w:left="1276" w:hanging="218"/>
            </w:pPr>
            <w:r>
              <w:t>Return home or to family members</w:t>
            </w:r>
          </w:p>
          <w:p w:rsidR="00161131" w:rsidRPr="007B253C" w:rsidRDefault="00161131">
            <w:pPr>
              <w:rPr>
                <w:rFonts w:ascii="Verdana" w:hAnsi="Verdana"/>
              </w:rPr>
            </w:pPr>
          </w:p>
        </w:tc>
      </w:tr>
      <w:tr w:rsidR="00FD65E4" w:rsidRPr="007B253C" w:rsidTr="009D3F3E">
        <w:tc>
          <w:tcPr>
            <w:tcW w:w="9242" w:type="dxa"/>
            <w:tcBorders>
              <w:top w:val="single" w:sz="4" w:space="0" w:color="auto"/>
              <w:left w:val="nil"/>
              <w:bottom w:val="single" w:sz="4" w:space="0" w:color="auto"/>
              <w:right w:val="nil"/>
            </w:tcBorders>
          </w:tcPr>
          <w:p w:rsidR="00FD65E4" w:rsidRDefault="00FD65E4">
            <w:pPr>
              <w:rPr>
                <w:rFonts w:ascii="Verdana" w:hAnsi="Verdana"/>
              </w:rPr>
            </w:pPr>
          </w:p>
          <w:p w:rsidR="009D3F3E" w:rsidRPr="007B253C" w:rsidRDefault="009D3F3E">
            <w:pPr>
              <w:rPr>
                <w:rFonts w:ascii="Verdana" w:hAnsi="Verdana"/>
              </w:rPr>
            </w:pPr>
          </w:p>
        </w:tc>
      </w:tr>
      <w:tr w:rsidR="00FD65E4" w:rsidRPr="007B253C" w:rsidTr="009D3F3E">
        <w:tc>
          <w:tcPr>
            <w:tcW w:w="9242" w:type="dxa"/>
            <w:tcBorders>
              <w:top w:val="single" w:sz="4" w:space="0" w:color="auto"/>
            </w:tcBorders>
            <w:shd w:val="clear" w:color="auto" w:fill="C6D9F1" w:themeFill="text2" w:themeFillTint="33"/>
          </w:tcPr>
          <w:p w:rsidR="00FD65E4" w:rsidRPr="009D3F3E" w:rsidRDefault="009D3F3E">
            <w:pPr>
              <w:rPr>
                <w:rFonts w:ascii="Verdana" w:hAnsi="Verdana"/>
                <w:b/>
                <w:sz w:val="24"/>
              </w:rPr>
            </w:pPr>
            <w:r>
              <w:rPr>
                <w:rFonts w:ascii="Verdana" w:hAnsi="Verdana"/>
                <w:b/>
                <w:sz w:val="24"/>
              </w:rPr>
              <w:t>Service: Supported Lodgings</w:t>
            </w:r>
          </w:p>
        </w:tc>
      </w:tr>
      <w:tr w:rsidR="00FD65E4" w:rsidRPr="007B253C" w:rsidTr="009D3F3E">
        <w:tc>
          <w:tcPr>
            <w:tcW w:w="9242" w:type="dxa"/>
            <w:tcBorders>
              <w:bottom w:val="single" w:sz="4" w:space="0" w:color="auto"/>
            </w:tcBorders>
          </w:tcPr>
          <w:p w:rsidR="009D3F3E" w:rsidRDefault="009D3F3E" w:rsidP="009D3F3E"/>
          <w:p w:rsidR="009D3F3E" w:rsidRDefault="009D3F3E" w:rsidP="009D3F3E">
            <w:pPr>
              <w:ind w:left="996" w:hangingChars="451" w:hanging="996"/>
            </w:pPr>
            <w:r w:rsidRPr="009D3F3E">
              <w:rPr>
                <w:b/>
              </w:rPr>
              <w:t>Overview:</w:t>
            </w:r>
            <w:r w:rsidRPr="007C70EA">
              <w:t xml:space="preserve"> Supported</w:t>
            </w:r>
            <w:r>
              <w:t xml:space="preserve"> Lodgings is a non-regulated placement for a young person within a supported home environment. The young person has their own room and is a resident full-time within the property but pursues their own lifestyle outside of the house (e.g. work, education etc.) Whilst the support provided is less intensive than a fostering placement, it is greater than what the young person would receive if they lived independently. </w:t>
            </w:r>
            <w:r w:rsidR="00866AB4">
              <w:t xml:space="preserve">This is currently delivered in-house, but would be transferred to an external provider with experience of delivering supported lodgings under the proposed model. </w:t>
            </w:r>
          </w:p>
          <w:p w:rsidR="009D3F3E" w:rsidRDefault="009D3F3E" w:rsidP="009D3F3E"/>
          <w:p w:rsidR="009D3F3E" w:rsidRDefault="009D3F3E" w:rsidP="009D3F3E">
            <w:r w:rsidRPr="009D3F3E">
              <w:rPr>
                <w:b/>
              </w:rPr>
              <w:t>Length of placement:</w:t>
            </w:r>
            <w:r>
              <w:t xml:space="preserve"> No maximum length</w:t>
            </w:r>
            <w:r w:rsidR="00697063">
              <w:t xml:space="preserve"> up to the age of 21 or up to the age of 25 if in education or training</w:t>
            </w:r>
            <w:r>
              <w:t xml:space="preserve">. </w:t>
            </w:r>
          </w:p>
          <w:p w:rsidR="009D3F3E" w:rsidRDefault="009D3F3E" w:rsidP="009D3F3E"/>
          <w:p w:rsidR="009D3F3E" w:rsidRDefault="009D3F3E" w:rsidP="009D3F3E">
            <w:r w:rsidRPr="009D3F3E">
              <w:rPr>
                <w:b/>
              </w:rPr>
              <w:t>Age range:</w:t>
            </w:r>
            <w:r>
              <w:t xml:space="preserve"> 16+</w:t>
            </w:r>
          </w:p>
          <w:p w:rsidR="009D3F3E" w:rsidRDefault="009D3F3E" w:rsidP="009D3F3E"/>
          <w:p w:rsidR="009D3F3E" w:rsidRDefault="009D3F3E" w:rsidP="009D3F3E">
            <w:r w:rsidRPr="009D3F3E">
              <w:rPr>
                <w:b/>
              </w:rPr>
              <w:t>Legal status:</w:t>
            </w:r>
            <w:r>
              <w:t xml:space="preserve"> LAC and non-LAC </w:t>
            </w:r>
          </w:p>
          <w:p w:rsidR="009D3F3E" w:rsidRDefault="009D3F3E" w:rsidP="009D3F3E"/>
          <w:p w:rsidR="009D3F3E" w:rsidRDefault="009D3F3E" w:rsidP="009D3F3E">
            <w:pPr>
              <w:ind w:left="992" w:hangingChars="449" w:hanging="992"/>
            </w:pPr>
            <w:r w:rsidRPr="009D3F3E">
              <w:rPr>
                <w:b/>
              </w:rPr>
              <w:t>Move-on:</w:t>
            </w:r>
            <w:r>
              <w:t xml:space="preserve"> Options for planned move-on from the Supported Lodgings placements within this model include</w:t>
            </w:r>
          </w:p>
          <w:p w:rsidR="009D3F3E" w:rsidRDefault="009D3F3E" w:rsidP="009D3F3E">
            <w:pPr>
              <w:pStyle w:val="ListParagraph"/>
              <w:numPr>
                <w:ilvl w:val="0"/>
                <w:numId w:val="1"/>
              </w:numPr>
              <w:ind w:left="1276" w:hanging="218"/>
            </w:pPr>
            <w:r>
              <w:t>Supported Living</w:t>
            </w:r>
          </w:p>
          <w:p w:rsidR="00FD65E4" w:rsidRPr="007B253C" w:rsidRDefault="009D3F3E" w:rsidP="00F76E48">
            <w:pPr>
              <w:pStyle w:val="ListParagraph"/>
              <w:numPr>
                <w:ilvl w:val="0"/>
                <w:numId w:val="1"/>
              </w:numPr>
              <w:ind w:left="1276" w:hanging="218"/>
              <w:rPr>
                <w:rFonts w:ascii="Verdana" w:hAnsi="Verdana"/>
              </w:rPr>
            </w:pPr>
            <w:r>
              <w:t>Independent accommodation</w:t>
            </w:r>
          </w:p>
        </w:tc>
      </w:tr>
      <w:tr w:rsidR="00FD65E4" w:rsidRPr="007B253C" w:rsidTr="009D3F3E">
        <w:tc>
          <w:tcPr>
            <w:tcW w:w="9242" w:type="dxa"/>
            <w:tcBorders>
              <w:top w:val="single" w:sz="4" w:space="0" w:color="auto"/>
              <w:left w:val="nil"/>
              <w:bottom w:val="single" w:sz="4" w:space="0" w:color="auto"/>
              <w:right w:val="nil"/>
            </w:tcBorders>
          </w:tcPr>
          <w:p w:rsidR="00FD65E4" w:rsidRDefault="00FD65E4">
            <w:pPr>
              <w:rPr>
                <w:rFonts w:ascii="Verdana" w:hAnsi="Verdana"/>
              </w:rPr>
            </w:pPr>
          </w:p>
          <w:p w:rsidR="009D3F3E" w:rsidRPr="007B253C" w:rsidRDefault="009D3F3E">
            <w:pPr>
              <w:rPr>
                <w:rFonts w:ascii="Verdana" w:hAnsi="Verdana"/>
              </w:rPr>
            </w:pPr>
          </w:p>
        </w:tc>
      </w:tr>
      <w:tr w:rsidR="00FD65E4" w:rsidRPr="007B253C" w:rsidTr="009D3F3E">
        <w:tc>
          <w:tcPr>
            <w:tcW w:w="9242" w:type="dxa"/>
            <w:tcBorders>
              <w:top w:val="single" w:sz="4" w:space="0" w:color="auto"/>
            </w:tcBorders>
            <w:shd w:val="clear" w:color="auto" w:fill="C6D9F1" w:themeFill="text2" w:themeFillTint="33"/>
          </w:tcPr>
          <w:p w:rsidR="00FD65E4" w:rsidRPr="009D3F3E" w:rsidRDefault="009D3F3E">
            <w:pPr>
              <w:rPr>
                <w:rFonts w:ascii="Verdana" w:hAnsi="Verdana"/>
                <w:b/>
                <w:sz w:val="24"/>
              </w:rPr>
            </w:pPr>
            <w:r>
              <w:rPr>
                <w:rFonts w:ascii="Verdana" w:hAnsi="Verdana"/>
                <w:b/>
                <w:sz w:val="24"/>
              </w:rPr>
              <w:t xml:space="preserve">Service: Supported Living </w:t>
            </w:r>
          </w:p>
        </w:tc>
      </w:tr>
      <w:tr w:rsidR="00FD65E4" w:rsidRPr="007B253C" w:rsidTr="00161131">
        <w:tc>
          <w:tcPr>
            <w:tcW w:w="9242" w:type="dxa"/>
          </w:tcPr>
          <w:p w:rsidR="009D3F3E" w:rsidRDefault="009D3F3E" w:rsidP="009D3F3E"/>
          <w:p w:rsidR="009D3F3E" w:rsidRDefault="009D3F3E" w:rsidP="009D3F3E">
            <w:pPr>
              <w:ind w:left="996" w:hangingChars="451" w:hanging="996"/>
            </w:pPr>
            <w:r w:rsidRPr="009D3F3E">
              <w:rPr>
                <w:b/>
              </w:rPr>
              <w:t>Overview:</w:t>
            </w:r>
            <w:r w:rsidRPr="00C30F26">
              <w:t xml:space="preserve"> Supported Living is a semi-independent supported accommodation</w:t>
            </w:r>
            <w:r w:rsidR="00697063">
              <w:t xml:space="preserve"> option for young people aged 16</w:t>
            </w:r>
            <w:r w:rsidRPr="00C30F26">
              <w:t xml:space="preserve">+. </w:t>
            </w:r>
            <w:r>
              <w:t>For those who are leaving care, it will</w:t>
            </w:r>
            <w:r w:rsidRPr="00C30F26">
              <w:t xml:space="preserve"> provide a ‘stepping-stone’ between care and the move on to total independence. </w:t>
            </w:r>
            <w:r w:rsidR="00B76B59">
              <w:t xml:space="preserve">This model usually consists of a number of independent units with 24/7 on-site support that can be flexed up/down depending on the needs of the individual. </w:t>
            </w:r>
            <w:r w:rsidRPr="00C30F26">
              <w:t>The specifics of this service will be developed with Supporting People via their grant application process</w:t>
            </w:r>
            <w:r>
              <w:t>, taking into account current service provision and potential service ‘gaps’</w:t>
            </w:r>
            <w:r w:rsidRPr="00C30F26">
              <w:t>.</w:t>
            </w:r>
            <w:r>
              <w:t xml:space="preserve"> </w:t>
            </w:r>
          </w:p>
          <w:p w:rsidR="009D3F3E" w:rsidRDefault="009D3F3E" w:rsidP="009D3F3E"/>
          <w:p w:rsidR="009D3F3E" w:rsidRDefault="009D3F3E" w:rsidP="009D3F3E">
            <w:r w:rsidRPr="009D3F3E">
              <w:rPr>
                <w:b/>
              </w:rPr>
              <w:t>Length of placement:</w:t>
            </w:r>
            <w:r>
              <w:t xml:space="preserve"> TBC </w:t>
            </w:r>
          </w:p>
          <w:p w:rsidR="009D3F3E" w:rsidRDefault="009D3F3E" w:rsidP="009D3F3E"/>
          <w:p w:rsidR="009D3F3E" w:rsidRDefault="009D3F3E" w:rsidP="009D3F3E">
            <w:r w:rsidRPr="009D3F3E">
              <w:rPr>
                <w:b/>
              </w:rPr>
              <w:t>Age range:</w:t>
            </w:r>
            <w:r>
              <w:t xml:space="preserve"> 1</w:t>
            </w:r>
            <w:r w:rsidR="00B76B59">
              <w:t>6</w:t>
            </w:r>
            <w:r>
              <w:t>+</w:t>
            </w:r>
          </w:p>
          <w:p w:rsidR="009D3F3E" w:rsidRDefault="009D3F3E" w:rsidP="009D3F3E"/>
          <w:p w:rsidR="009D3F3E" w:rsidRDefault="009D3F3E" w:rsidP="009D3F3E">
            <w:r w:rsidRPr="009D3F3E">
              <w:rPr>
                <w:b/>
              </w:rPr>
              <w:t>Legal status:</w:t>
            </w:r>
            <w:r>
              <w:t xml:space="preserve"> LAC and non-LAC </w:t>
            </w:r>
          </w:p>
          <w:p w:rsidR="009D3F3E" w:rsidRDefault="009D3F3E" w:rsidP="009D3F3E"/>
          <w:p w:rsidR="009D3F3E" w:rsidRDefault="009D3F3E" w:rsidP="009D3F3E">
            <w:r w:rsidRPr="009D3F3E">
              <w:rPr>
                <w:b/>
              </w:rPr>
              <w:t>Move-on:</w:t>
            </w:r>
            <w:r>
              <w:t xml:space="preserve"> Options for planned move-on from the Supported Living service within this model include</w:t>
            </w:r>
          </w:p>
          <w:p w:rsidR="009D3F3E" w:rsidRDefault="009D3F3E" w:rsidP="009D3F3E">
            <w:pPr>
              <w:pStyle w:val="ListParagraph"/>
              <w:numPr>
                <w:ilvl w:val="0"/>
                <w:numId w:val="1"/>
              </w:numPr>
              <w:ind w:left="1276" w:hanging="218"/>
            </w:pPr>
            <w:r>
              <w:t>Independent accommodation</w:t>
            </w:r>
          </w:p>
          <w:p w:rsidR="00FD65E4" w:rsidRPr="007B253C" w:rsidRDefault="00FD65E4">
            <w:pPr>
              <w:rPr>
                <w:rFonts w:ascii="Verdana" w:hAnsi="Verdana"/>
              </w:rPr>
            </w:pPr>
          </w:p>
        </w:tc>
      </w:tr>
    </w:tbl>
    <w:p w:rsidR="009F24D4" w:rsidRDefault="009F24D4" w:rsidP="009D3F3E"/>
    <w:p w:rsidR="000D1200" w:rsidRDefault="000D1200" w:rsidP="009D3F3E"/>
    <w:p w:rsidR="000D1200" w:rsidRDefault="000D1200" w:rsidP="009D3F3E"/>
    <w:p w:rsidR="000D1200" w:rsidRDefault="000D1200" w:rsidP="009D3F3E"/>
    <w:p w:rsidR="000D1200" w:rsidRDefault="000D1200" w:rsidP="009D3F3E"/>
    <w:p w:rsidR="000D1200" w:rsidRDefault="000D1200" w:rsidP="009D3F3E"/>
    <w:p w:rsidR="000D1200" w:rsidRDefault="000D1200" w:rsidP="009D3F3E"/>
    <w:p w:rsidR="000D1200" w:rsidRDefault="000D1200" w:rsidP="009D3F3E"/>
    <w:p w:rsidR="000D1200" w:rsidRDefault="000D1200" w:rsidP="009D3F3E"/>
    <w:p w:rsidR="000D1200" w:rsidRDefault="000D1200" w:rsidP="009D3F3E"/>
    <w:p w:rsidR="000D1200" w:rsidRDefault="000D1200" w:rsidP="009D3F3E"/>
    <w:p w:rsidR="000D1200" w:rsidRDefault="000D1200" w:rsidP="009D3F3E"/>
    <w:p w:rsidR="000D1200" w:rsidRDefault="000D1200" w:rsidP="009D3F3E"/>
    <w:p w:rsidR="000D1200" w:rsidRDefault="000D1200" w:rsidP="009D3F3E"/>
    <w:p w:rsidR="000D1200" w:rsidRDefault="000D1200" w:rsidP="009D3F3E"/>
    <w:p w:rsidR="000D1200" w:rsidRDefault="000D1200" w:rsidP="009D3F3E"/>
    <w:p w:rsidR="000D1200" w:rsidRPr="000D1200" w:rsidRDefault="000D1200" w:rsidP="009D3F3E">
      <w:pPr>
        <w:rPr>
          <w:u w:val="single"/>
        </w:rPr>
      </w:pPr>
      <w:r w:rsidRPr="000D1200">
        <w:rPr>
          <w:u w:val="single"/>
        </w:rPr>
        <w:lastRenderedPageBreak/>
        <w:t xml:space="preserve">Questionnaire </w:t>
      </w:r>
    </w:p>
    <w:p w:rsidR="00776380" w:rsidRDefault="00776380" w:rsidP="00776380">
      <w:pPr>
        <w:pStyle w:val="NoSpacing"/>
        <w:numPr>
          <w:ilvl w:val="0"/>
          <w:numId w:val="2"/>
        </w:numPr>
        <w:rPr>
          <w:b/>
          <w:color w:val="000000"/>
        </w:rPr>
      </w:pPr>
      <w:r>
        <w:rPr>
          <w:b/>
          <w:color w:val="000000"/>
        </w:rPr>
        <w:t>Please indicate below</w:t>
      </w:r>
      <w:r w:rsidRPr="00775BED">
        <w:rPr>
          <w:b/>
          <w:color w:val="000000"/>
        </w:rPr>
        <w:t xml:space="preserve"> </w:t>
      </w:r>
      <w:r>
        <w:rPr>
          <w:b/>
          <w:color w:val="000000"/>
        </w:rPr>
        <w:t xml:space="preserve">the statement that best describes </w:t>
      </w:r>
      <w:r w:rsidRPr="00775BED">
        <w:rPr>
          <w:b/>
          <w:color w:val="000000"/>
        </w:rPr>
        <w:t>you</w:t>
      </w:r>
      <w:r>
        <w:rPr>
          <w:b/>
          <w:color w:val="000000"/>
        </w:rPr>
        <w:t>r</w:t>
      </w:r>
      <w:r w:rsidRPr="00775BED">
        <w:rPr>
          <w:b/>
          <w:color w:val="000000"/>
        </w:rPr>
        <w:t xml:space="preserve"> </w:t>
      </w:r>
      <w:r>
        <w:rPr>
          <w:b/>
          <w:color w:val="000000"/>
        </w:rPr>
        <w:t>link to the Children’s Residential Provision:</w:t>
      </w:r>
    </w:p>
    <w:p w:rsidR="00776380" w:rsidRDefault="00776380" w:rsidP="00776380">
      <w:pPr>
        <w:pStyle w:val="NoSpacing"/>
        <w:rPr>
          <w:b/>
          <w:color w:val="000000"/>
        </w:rPr>
      </w:pPr>
    </w:p>
    <w:p w:rsidR="00776380" w:rsidRPr="00775BED" w:rsidRDefault="00776380" w:rsidP="00776380">
      <w:pPr>
        <w:pStyle w:val="NoSpacing"/>
        <w:rPr>
          <w:rFonts w:eastAsia="MS Gothic"/>
          <w:color w:val="000000"/>
        </w:rPr>
      </w:pPr>
      <w:r>
        <w:rPr>
          <w:rFonts w:eastAsia="MS Gothic"/>
          <w:color w:val="000000"/>
        </w:rPr>
        <w:t xml:space="preserve">Resident </w:t>
      </w:r>
      <w:r>
        <w:rPr>
          <w:rFonts w:eastAsia="MS Gothic"/>
          <w:color w:val="000000"/>
        </w:rPr>
        <w:tab/>
      </w:r>
      <w:r>
        <w:rPr>
          <w:rFonts w:eastAsia="MS Gothic"/>
          <w:color w:val="000000"/>
        </w:rPr>
        <w:tab/>
      </w:r>
      <w:r>
        <w:rPr>
          <w:rFonts w:eastAsia="MS Gothic"/>
          <w:color w:val="000000"/>
        </w:rPr>
        <w:tab/>
      </w:r>
      <w:r>
        <w:rPr>
          <w:rFonts w:eastAsia="MS Gothic"/>
          <w:color w:val="000000"/>
        </w:rPr>
        <w:tab/>
      </w:r>
      <w:r>
        <w:rPr>
          <w:rFonts w:eastAsia="MS Gothic"/>
          <w:color w:val="000000"/>
        </w:rPr>
        <w:tab/>
      </w:r>
      <w:sdt>
        <w:sdtPr>
          <w:rPr>
            <w:rFonts w:eastAsia="MS Gothic"/>
            <w:color w:val="000000"/>
          </w:rPr>
          <w:id w:val="-714502659"/>
          <w14:checkbox>
            <w14:checked w14:val="0"/>
            <w14:checkedState w14:val="2612" w14:font="MS Gothic"/>
            <w14:uncheckedState w14:val="2610" w14:font="MS Gothic"/>
          </w14:checkbox>
        </w:sdtPr>
        <w:sdtEndPr/>
        <w:sdtContent>
          <w:r w:rsidRPr="00775BED">
            <w:rPr>
              <w:rFonts w:ascii="MS Gothic" w:eastAsia="MS Gothic" w:hAnsi="MS Gothic" w:cs="MS Gothic" w:hint="eastAsia"/>
              <w:color w:val="000000"/>
            </w:rPr>
            <w:t>☐</w:t>
          </w:r>
        </w:sdtContent>
      </w:sdt>
      <w:r w:rsidRPr="00775BED">
        <w:rPr>
          <w:rFonts w:eastAsia="MS Gothic"/>
          <w:color w:val="000000"/>
        </w:rPr>
        <w:t xml:space="preserve"> </w:t>
      </w:r>
      <w:r w:rsidRPr="00775BED">
        <w:rPr>
          <w:rFonts w:eastAsia="MS Gothic"/>
          <w:color w:val="000000"/>
        </w:rPr>
        <w:tab/>
      </w:r>
    </w:p>
    <w:p w:rsidR="00776380" w:rsidRDefault="00776380" w:rsidP="00776380">
      <w:pPr>
        <w:pStyle w:val="NoSpacing"/>
        <w:rPr>
          <w:rFonts w:eastAsia="MS Gothic"/>
          <w:color w:val="000000"/>
        </w:rPr>
      </w:pPr>
    </w:p>
    <w:p w:rsidR="00776380" w:rsidRPr="00775BED" w:rsidRDefault="00776380" w:rsidP="00776380">
      <w:pPr>
        <w:pStyle w:val="NoSpacing"/>
        <w:rPr>
          <w:rFonts w:eastAsia="MS Gothic"/>
          <w:color w:val="000000"/>
        </w:rPr>
      </w:pPr>
      <w:r>
        <w:rPr>
          <w:rFonts w:eastAsia="MS Gothic"/>
          <w:color w:val="000000"/>
        </w:rPr>
        <w:t>Family m</w:t>
      </w:r>
      <w:r w:rsidRPr="00775BED">
        <w:rPr>
          <w:rFonts w:eastAsia="MS Gothic"/>
          <w:color w:val="000000"/>
        </w:rPr>
        <w:t>ember</w:t>
      </w:r>
      <w:r>
        <w:rPr>
          <w:rFonts w:eastAsia="MS Gothic"/>
          <w:color w:val="000000"/>
        </w:rPr>
        <w:t>/carer/friend</w:t>
      </w:r>
      <w:r w:rsidRPr="00775BED">
        <w:rPr>
          <w:rFonts w:eastAsia="MS Gothic"/>
          <w:color w:val="000000"/>
        </w:rPr>
        <w:t xml:space="preserve"> of </w:t>
      </w:r>
      <w:r>
        <w:rPr>
          <w:rFonts w:eastAsia="MS Gothic"/>
          <w:color w:val="000000"/>
        </w:rPr>
        <w:t>resident</w:t>
      </w:r>
      <w:r>
        <w:rPr>
          <w:rFonts w:eastAsia="MS Gothic"/>
          <w:color w:val="000000"/>
        </w:rPr>
        <w:tab/>
      </w:r>
      <w:r>
        <w:rPr>
          <w:rFonts w:eastAsia="MS Gothic"/>
          <w:color w:val="000000"/>
        </w:rPr>
        <w:tab/>
      </w:r>
      <w:sdt>
        <w:sdtPr>
          <w:rPr>
            <w:rFonts w:eastAsia="MS Gothic"/>
            <w:color w:val="000000"/>
          </w:rPr>
          <w:id w:val="1919741591"/>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sidRPr="00775BED">
        <w:rPr>
          <w:rFonts w:eastAsia="MS Gothic"/>
          <w:color w:val="000000"/>
        </w:rPr>
        <w:t xml:space="preserve"> </w:t>
      </w:r>
    </w:p>
    <w:p w:rsidR="00776380" w:rsidRDefault="00776380" w:rsidP="00776380">
      <w:pPr>
        <w:pStyle w:val="NoSpacing"/>
        <w:rPr>
          <w:rFonts w:eastAsia="MS Gothic"/>
          <w:color w:val="000000"/>
        </w:rPr>
      </w:pPr>
    </w:p>
    <w:p w:rsidR="00776380" w:rsidRDefault="00776380" w:rsidP="00776380">
      <w:pPr>
        <w:pStyle w:val="NoSpacing"/>
        <w:rPr>
          <w:rFonts w:eastAsia="MS Gothic"/>
          <w:color w:val="000000"/>
        </w:rPr>
      </w:pPr>
      <w:r>
        <w:rPr>
          <w:rFonts w:eastAsia="MS Gothic"/>
          <w:color w:val="000000"/>
        </w:rPr>
        <w:t>Member of staff (BCBC)</w:t>
      </w:r>
      <w:r>
        <w:rPr>
          <w:rFonts w:eastAsia="MS Gothic"/>
          <w:color w:val="000000"/>
        </w:rPr>
        <w:tab/>
      </w:r>
      <w:r>
        <w:rPr>
          <w:rFonts w:eastAsia="MS Gothic"/>
          <w:color w:val="000000"/>
        </w:rPr>
        <w:tab/>
      </w:r>
      <w:r>
        <w:rPr>
          <w:rFonts w:eastAsia="MS Gothic"/>
          <w:color w:val="000000"/>
        </w:rPr>
        <w:tab/>
      </w:r>
      <w:r>
        <w:rPr>
          <w:rFonts w:eastAsia="MS Gothic"/>
          <w:color w:val="000000"/>
        </w:rPr>
        <w:tab/>
      </w:r>
      <w:sdt>
        <w:sdtPr>
          <w:rPr>
            <w:rFonts w:eastAsia="MS Gothic"/>
            <w:color w:val="000000"/>
          </w:rPr>
          <w:id w:val="-106591301"/>
          <w14:checkbox>
            <w14:checked w14:val="0"/>
            <w14:checkedState w14:val="2612" w14:font="MS Gothic"/>
            <w14:uncheckedState w14:val="2610" w14:font="MS Gothic"/>
          </w14:checkbox>
        </w:sdtPr>
        <w:sdtEndPr/>
        <w:sdtContent>
          <w:r w:rsidRPr="00775BED">
            <w:rPr>
              <w:rFonts w:ascii="MS Gothic" w:eastAsia="MS Gothic" w:hAnsi="MS Gothic" w:cs="MS Gothic" w:hint="eastAsia"/>
              <w:color w:val="000000"/>
            </w:rPr>
            <w:t>☐</w:t>
          </w:r>
        </w:sdtContent>
      </w:sdt>
      <w:r w:rsidRPr="00775BED">
        <w:rPr>
          <w:rFonts w:eastAsia="MS Gothic"/>
          <w:color w:val="000000"/>
        </w:rPr>
        <w:t xml:space="preserve"> </w:t>
      </w:r>
      <w:r w:rsidRPr="00775BED">
        <w:rPr>
          <w:rFonts w:eastAsia="MS Gothic"/>
          <w:color w:val="000000"/>
        </w:rPr>
        <w:tab/>
      </w:r>
    </w:p>
    <w:p w:rsidR="00776380" w:rsidRDefault="00776380" w:rsidP="00776380">
      <w:pPr>
        <w:pStyle w:val="NoSpacing"/>
        <w:rPr>
          <w:rFonts w:eastAsia="MS Gothic"/>
          <w:color w:val="000000"/>
        </w:rPr>
      </w:pPr>
    </w:p>
    <w:p w:rsidR="00776380" w:rsidRPr="00775BED" w:rsidRDefault="00776380" w:rsidP="00776380">
      <w:pPr>
        <w:pStyle w:val="NoSpacing"/>
        <w:rPr>
          <w:rFonts w:eastAsia="MS Gothic"/>
          <w:color w:val="000000"/>
        </w:rPr>
      </w:pPr>
      <w:r>
        <w:rPr>
          <w:rFonts w:eastAsia="MS Gothic"/>
          <w:color w:val="000000"/>
        </w:rPr>
        <w:t>Stakeholder from external organisation</w:t>
      </w:r>
      <w:r>
        <w:rPr>
          <w:rFonts w:eastAsia="MS Gothic"/>
          <w:color w:val="000000"/>
        </w:rPr>
        <w:tab/>
      </w:r>
      <w:r>
        <w:rPr>
          <w:rFonts w:eastAsia="MS Gothic"/>
          <w:color w:val="000000"/>
        </w:rPr>
        <w:tab/>
      </w:r>
      <w:sdt>
        <w:sdtPr>
          <w:rPr>
            <w:rFonts w:eastAsia="MS Gothic"/>
            <w:color w:val="000000"/>
          </w:rPr>
          <w:id w:val="40331606"/>
          <w14:checkbox>
            <w14:checked w14:val="0"/>
            <w14:checkedState w14:val="2612" w14:font="MS Gothic"/>
            <w14:uncheckedState w14:val="2610" w14:font="MS Gothic"/>
          </w14:checkbox>
        </w:sdtPr>
        <w:sdtEndPr/>
        <w:sdtContent>
          <w:r w:rsidRPr="00775BED">
            <w:rPr>
              <w:rFonts w:ascii="MS Gothic" w:eastAsia="MS Gothic" w:hAnsi="MS Gothic" w:cs="MS Gothic" w:hint="eastAsia"/>
              <w:color w:val="000000"/>
            </w:rPr>
            <w:t>☐</w:t>
          </w:r>
        </w:sdtContent>
      </w:sdt>
    </w:p>
    <w:p w:rsidR="00776380" w:rsidRDefault="00776380" w:rsidP="00776380">
      <w:pPr>
        <w:pStyle w:val="NoSpacing"/>
        <w:rPr>
          <w:rFonts w:eastAsia="MS Gothic"/>
          <w:color w:val="000000"/>
        </w:rPr>
      </w:pPr>
    </w:p>
    <w:p w:rsidR="00776380" w:rsidRPr="00775BED" w:rsidRDefault="00776380" w:rsidP="00776380">
      <w:pPr>
        <w:pStyle w:val="NoSpacing"/>
        <w:rPr>
          <w:rFonts w:eastAsia="MS Gothic"/>
          <w:color w:val="000000"/>
        </w:rPr>
      </w:pPr>
      <w:r>
        <w:rPr>
          <w:rFonts w:eastAsia="MS Gothic"/>
          <w:color w:val="000000"/>
        </w:rPr>
        <w:t>Other:</w:t>
      </w:r>
      <w:r>
        <w:rPr>
          <w:rFonts w:eastAsia="MS Gothic"/>
          <w:color w:val="000000"/>
        </w:rPr>
        <w:tab/>
        <w:t>……………………………………………………………………………………</w:t>
      </w:r>
      <w:r w:rsidRPr="00775BED">
        <w:rPr>
          <w:rFonts w:eastAsia="MS Gothic"/>
          <w:color w:val="000000"/>
        </w:rPr>
        <w:t xml:space="preserve"> </w:t>
      </w:r>
    </w:p>
    <w:p w:rsidR="00776380" w:rsidRDefault="00776380" w:rsidP="00776380">
      <w:pPr>
        <w:pStyle w:val="NoSpacing"/>
        <w:rPr>
          <w:b/>
          <w:color w:val="000000"/>
        </w:rPr>
      </w:pPr>
    </w:p>
    <w:p w:rsidR="00776380" w:rsidRDefault="00776380" w:rsidP="00776380">
      <w:pPr>
        <w:pStyle w:val="NoSpacing"/>
        <w:rPr>
          <w:b/>
          <w:color w:val="000000"/>
        </w:rPr>
      </w:pPr>
    </w:p>
    <w:p w:rsidR="00776380" w:rsidRDefault="00776380" w:rsidP="00776380">
      <w:pPr>
        <w:pStyle w:val="NoSpacing"/>
        <w:numPr>
          <w:ilvl w:val="0"/>
          <w:numId w:val="2"/>
        </w:numPr>
        <w:rPr>
          <w:b/>
        </w:rPr>
      </w:pPr>
      <w:r w:rsidRPr="00F250D3">
        <w:rPr>
          <w:b/>
        </w:rPr>
        <w:t>Are</w:t>
      </w:r>
      <w:r>
        <w:rPr>
          <w:b/>
        </w:rPr>
        <w:t xml:space="preserve"> you supportive of the new proposal for Children’s Residential Provision</w:t>
      </w:r>
      <w:r w:rsidRPr="000C0C5B">
        <w:rPr>
          <w:b/>
        </w:rPr>
        <w:t xml:space="preserve">? </w:t>
      </w:r>
    </w:p>
    <w:p w:rsidR="00776380" w:rsidRDefault="00776380" w:rsidP="00776380">
      <w:pPr>
        <w:pStyle w:val="NoSpacing"/>
        <w:rPr>
          <w:b/>
        </w:rPr>
      </w:pPr>
      <w:r>
        <w:rPr>
          <w:b/>
        </w:rPr>
        <w:tab/>
      </w:r>
    </w:p>
    <w:p w:rsidR="00776380" w:rsidRPr="000C0C5B" w:rsidRDefault="00776380" w:rsidP="00776380">
      <w:pPr>
        <w:pStyle w:val="NoSpacing"/>
        <w:ind w:firstLine="360"/>
      </w:pPr>
      <w:r w:rsidRPr="000C0C5B">
        <w:rPr>
          <w:color w:val="000000"/>
        </w:rPr>
        <w:t>Yes</w:t>
      </w:r>
      <w:sdt>
        <w:sdtPr>
          <w:rPr>
            <w:rFonts w:ascii="MS Gothic" w:eastAsia="MS Gothic" w:hAnsi="MS Gothic" w:cs="MS Gothic"/>
            <w:color w:val="000000"/>
          </w:rPr>
          <w:id w:val="1352988038"/>
          <w14:checkbox>
            <w14:checked w14:val="0"/>
            <w14:checkedState w14:val="2612" w14:font="MS Gothic"/>
            <w14:uncheckedState w14:val="2610" w14:font="MS Gothic"/>
          </w14:checkbox>
        </w:sdtPr>
        <w:sdtEndPr/>
        <w:sdtContent>
          <w:r>
            <w:rPr>
              <w:rFonts w:ascii="MS Gothic" w:eastAsia="MS Gothic" w:hAnsi="MS Gothic" w:cs="MS Gothic" w:hint="eastAsia"/>
              <w:color w:val="000000"/>
            </w:rPr>
            <w:t>☐</w:t>
          </w:r>
        </w:sdtContent>
      </w:sdt>
      <w:r w:rsidRPr="000C0C5B">
        <w:rPr>
          <w:color w:val="000000"/>
        </w:rPr>
        <w:t xml:space="preserve"> </w:t>
      </w:r>
      <w:r w:rsidRPr="000C0C5B">
        <w:rPr>
          <w:color w:val="000000"/>
        </w:rPr>
        <w:tab/>
      </w:r>
      <w:r>
        <w:rPr>
          <w:color w:val="000000"/>
        </w:rPr>
        <w:tab/>
      </w:r>
      <w:r w:rsidRPr="000C0C5B">
        <w:rPr>
          <w:color w:val="000000"/>
        </w:rPr>
        <w:t xml:space="preserve">No </w:t>
      </w:r>
      <w:sdt>
        <w:sdtPr>
          <w:rPr>
            <w:rFonts w:ascii="MS Gothic" w:eastAsia="MS Gothic" w:hAnsi="MS Gothic" w:cs="MS Gothic"/>
            <w:color w:val="000000"/>
          </w:rPr>
          <w:id w:val="2113017295"/>
          <w14:checkbox>
            <w14:checked w14:val="0"/>
            <w14:checkedState w14:val="2612" w14:font="MS Gothic"/>
            <w14:uncheckedState w14:val="2610" w14:font="MS Gothic"/>
          </w14:checkbox>
        </w:sdtPr>
        <w:sdtEndPr/>
        <w:sdtContent>
          <w:r w:rsidRPr="000C0C5B">
            <w:rPr>
              <w:rFonts w:ascii="MS Gothic" w:eastAsia="MS Gothic" w:hAnsi="MS Gothic" w:cs="MS Gothic" w:hint="eastAsia"/>
              <w:color w:val="000000"/>
            </w:rPr>
            <w:t>☐</w:t>
          </w:r>
        </w:sdtContent>
      </w:sdt>
    </w:p>
    <w:p w:rsidR="00776380" w:rsidRDefault="00776380" w:rsidP="00776380">
      <w:pPr>
        <w:pStyle w:val="NoSpacing"/>
        <w:rPr>
          <w:b/>
          <w:i/>
        </w:rPr>
      </w:pPr>
    </w:p>
    <w:p w:rsidR="00776380" w:rsidRDefault="00776380" w:rsidP="00776380">
      <w:pPr>
        <w:pStyle w:val="NoSpacing"/>
        <w:ind w:firstLine="360"/>
        <w:rPr>
          <w:b/>
        </w:rPr>
      </w:pPr>
      <w:r>
        <w:rPr>
          <w:b/>
        </w:rPr>
        <w:t xml:space="preserve">Please explain your answer: </w:t>
      </w:r>
    </w:p>
    <w:p w:rsidR="00776380" w:rsidRDefault="00776380" w:rsidP="00776380">
      <w:pPr>
        <w:pStyle w:val="NoSpacing"/>
        <w:rPr>
          <w:b/>
        </w:rPr>
      </w:pPr>
    </w:p>
    <w:p w:rsidR="00776380" w:rsidRPr="00A4683E" w:rsidRDefault="00776380" w:rsidP="00776380">
      <w:pPr>
        <w:pStyle w:val="NoSpacing"/>
      </w:pPr>
      <w:r w:rsidRPr="00A4683E">
        <w:t>…………………………………………………………………………………………………………………………………………………………………………………………………………………………………………………………………………………………………………………………………………………………………………………………………………………………………………………………………………………………………………………………………………………………………………………………………………………………………………………………………………………………………………………</w:t>
      </w:r>
      <w:r>
        <w:t>………………………………………………………………………………………………………………………………………………………………………………………………………………………………………………………………………………………………………………………………………………………………………………………………………………………………………………………………………………………………………………………………………………………………………………………</w:t>
      </w:r>
    </w:p>
    <w:p w:rsidR="00776380" w:rsidRDefault="00776380" w:rsidP="00776380">
      <w:pPr>
        <w:pStyle w:val="NoSpacing"/>
        <w:rPr>
          <w:b/>
          <w:color w:val="000000"/>
        </w:rPr>
      </w:pPr>
    </w:p>
    <w:p w:rsidR="00776380" w:rsidRDefault="00776380" w:rsidP="00776380">
      <w:pPr>
        <w:pStyle w:val="NoSpacing"/>
        <w:rPr>
          <w:b/>
          <w:color w:val="000000"/>
        </w:rPr>
      </w:pPr>
    </w:p>
    <w:p w:rsidR="00776380" w:rsidRDefault="00776380" w:rsidP="00776380">
      <w:pPr>
        <w:pStyle w:val="NoSpacing"/>
        <w:numPr>
          <w:ilvl w:val="0"/>
          <w:numId w:val="2"/>
        </w:numPr>
        <w:rPr>
          <w:b/>
          <w:color w:val="000000"/>
        </w:rPr>
      </w:pPr>
      <w:r>
        <w:rPr>
          <w:b/>
          <w:color w:val="000000"/>
        </w:rPr>
        <w:t>In your opinion, w</w:t>
      </w:r>
      <w:r w:rsidRPr="00F250D3">
        <w:rPr>
          <w:b/>
          <w:color w:val="000000"/>
        </w:rPr>
        <w:t>hat do you feel are the main benefits of the proposal</w:t>
      </w:r>
      <w:r>
        <w:rPr>
          <w:b/>
          <w:color w:val="000000"/>
        </w:rPr>
        <w:t>?</w:t>
      </w:r>
    </w:p>
    <w:p w:rsidR="00776380" w:rsidRDefault="00776380" w:rsidP="00776380">
      <w:pPr>
        <w:pStyle w:val="NoSpacing"/>
        <w:rPr>
          <w:b/>
          <w:color w:val="000000"/>
        </w:rPr>
      </w:pPr>
    </w:p>
    <w:p w:rsidR="00776380" w:rsidRDefault="00776380" w:rsidP="00776380">
      <w:pPr>
        <w:pStyle w:val="NoSpacing"/>
      </w:pPr>
      <w:r w:rsidRPr="00A4683E">
        <w:t>…………………………………………………………………………………………………………………………………………………………………………………………………………………………………………………………………………………………………………………………………………………………………………………………………………………………………………………………………………………………………………………………………………………………………………………………………………………………………………………………………………………………………………………</w:t>
      </w:r>
      <w:r>
        <w:t>………………………………………………………………………………………………………………………………………………………………………………………………………………………………………………………………………………………………………………………………………………………………………………………………………………………………………………………………………………………………………………………………………………………………………………………</w:t>
      </w:r>
    </w:p>
    <w:p w:rsidR="00776380" w:rsidRDefault="00776380" w:rsidP="00776380">
      <w:pPr>
        <w:pStyle w:val="NoSpacing"/>
        <w:rPr>
          <w:b/>
          <w:color w:val="000000"/>
        </w:rPr>
      </w:pPr>
    </w:p>
    <w:p w:rsidR="00776380" w:rsidRDefault="00776380" w:rsidP="00776380">
      <w:pPr>
        <w:pStyle w:val="NoSpacing"/>
        <w:rPr>
          <w:b/>
          <w:color w:val="000000"/>
        </w:rPr>
      </w:pPr>
    </w:p>
    <w:p w:rsidR="00776380" w:rsidRDefault="00776380" w:rsidP="00776380">
      <w:pPr>
        <w:pStyle w:val="NoSpacing"/>
        <w:numPr>
          <w:ilvl w:val="0"/>
          <w:numId w:val="2"/>
        </w:numPr>
        <w:rPr>
          <w:b/>
          <w:color w:val="000000"/>
        </w:rPr>
      </w:pPr>
      <w:r>
        <w:rPr>
          <w:b/>
          <w:color w:val="000000"/>
        </w:rPr>
        <w:t>In your opinion, w</w:t>
      </w:r>
      <w:r w:rsidRPr="00F250D3">
        <w:rPr>
          <w:b/>
          <w:color w:val="000000"/>
        </w:rPr>
        <w:t>hat do you feel are the main drawbacks of the proposal</w:t>
      </w:r>
      <w:r w:rsidRPr="000C0C5B">
        <w:rPr>
          <w:b/>
          <w:color w:val="000000"/>
        </w:rPr>
        <w:t>?</w:t>
      </w:r>
    </w:p>
    <w:p w:rsidR="00776380" w:rsidRPr="000C0C5B" w:rsidRDefault="00776380" w:rsidP="00776380">
      <w:pPr>
        <w:pStyle w:val="NoSpacing"/>
        <w:ind w:left="720"/>
        <w:rPr>
          <w:b/>
          <w:color w:val="000000"/>
        </w:rPr>
      </w:pPr>
    </w:p>
    <w:p w:rsidR="00776380" w:rsidRDefault="00776380" w:rsidP="00776380">
      <w:pPr>
        <w:pStyle w:val="NoSpacing"/>
      </w:pPr>
      <w:r w:rsidRPr="00A4683E">
        <w:t>…………………………………………………………………………………………………………………………………………………………………………………………………………………………………………………………………………………………………………………………………………………………………………………………………………………………………………………………………………………………………………………………………………………………………………………………………………………………………………………………………………………………………………………</w:t>
      </w:r>
      <w:r>
        <w:t>………………………………………………………………………………………………</w:t>
      </w:r>
      <w:r>
        <w:lastRenderedPageBreak/>
        <w:t>………………………………………………………………………………………………………………………………………………………………………………………………………………………………………………………………………………………………………………………………………………………………………………………………………………………………………………………………………………………</w:t>
      </w:r>
    </w:p>
    <w:p w:rsidR="00776380" w:rsidRDefault="00776380" w:rsidP="00776380">
      <w:pPr>
        <w:pStyle w:val="NoSpacing"/>
        <w:ind w:left="720"/>
        <w:rPr>
          <w:b/>
        </w:rPr>
      </w:pPr>
    </w:p>
    <w:p w:rsidR="00776380" w:rsidRPr="00A4683E" w:rsidRDefault="00776380" w:rsidP="00776380">
      <w:pPr>
        <w:pStyle w:val="NoSpacing"/>
        <w:numPr>
          <w:ilvl w:val="0"/>
          <w:numId w:val="2"/>
        </w:numPr>
        <w:rPr>
          <w:b/>
        </w:rPr>
      </w:pPr>
      <w:r>
        <w:rPr>
          <w:b/>
        </w:rPr>
        <w:t>If you would like to propose a different option that we may not have considered, please use the space below to describe your proposal:</w:t>
      </w:r>
    </w:p>
    <w:p w:rsidR="00776380" w:rsidRDefault="00776380" w:rsidP="00776380">
      <w:pPr>
        <w:pStyle w:val="NoSpacing"/>
        <w:rPr>
          <w:b/>
          <w:i/>
        </w:rPr>
      </w:pPr>
    </w:p>
    <w:p w:rsidR="00776380" w:rsidRDefault="00776380" w:rsidP="00776380">
      <w:pPr>
        <w:pStyle w:val="NoSpacing"/>
      </w:pPr>
      <w:r w:rsidRPr="00A4683E">
        <w:t>…………………………………………………………………………………………………………………………………………………………………………………………………………………………………………………………………………………………………………………………………………………………………………………………………………………………………………………………………………………………………………………………………………………………………………………………………………………………………………………………………………………………………………………</w:t>
      </w:r>
      <w:r>
        <w:t>………………………………………………………………………………………………</w:t>
      </w:r>
      <w:r w:rsidRPr="00A4683E">
        <w:t>…………………………………………………………………………………………………………………………………………………………………………………………………………………………………………………………………………………………………………………………………………………………………………………………………………………………………………………………………………………………………………………………………………………………………………………………………………………………………………………………………………………………………………………</w:t>
      </w:r>
      <w:r>
        <w:t>……………………………………………………………………………………………….</w:t>
      </w:r>
      <w:r w:rsidRPr="00A4683E">
        <w:t>…………………………………………………………………………………………………………………………………………………………………………………………………………………………………………………………………………………………………………………………………………………………………………………………………………………………………………………………………………………………………………………………………………………………………………………………………………………………………………………………………………………………………………………</w:t>
      </w:r>
      <w:r>
        <w:t>……………………………………………………………………………………………….</w:t>
      </w:r>
      <w:r w:rsidRPr="00A4683E">
        <w:t>…………………………………………………………………………………………………………………………………………………………………………………………………………………………………………………………………………………………………………………………………………………………………………………………………………………………………………………………………………………………………………………………………………………………………………………………………………………………………………………………………………………………………………………</w:t>
      </w:r>
      <w:r>
        <w:t>……………………………………………………………………………………………….</w:t>
      </w:r>
      <w:r w:rsidRPr="00A4683E">
        <w:t>…………………………………………………………………………………………………………………………………………………………………………………………………………………………………………………………………………………………………………………………………………………………………………………………………………………………………………………………………………………………………………………………………………………………………………………………………………………………………………………………………………………………………………………</w:t>
      </w:r>
      <w:r>
        <w:t>……………………………………………………………………………………………….</w:t>
      </w:r>
      <w:r w:rsidRPr="00A4683E">
        <w:t>…………………………………………………………………………………………………………………………………………………………………………………………………………………………………………………………………………………………………………………………………………………………………………………………………………………………………………………………………………………………………………………………………………………………………………………………………………………………………………………………………………………………………………………</w:t>
      </w:r>
      <w:r>
        <w:t>……………………………………………………………………………………………….</w:t>
      </w:r>
    </w:p>
    <w:p w:rsidR="00776380" w:rsidRDefault="00776380" w:rsidP="00776380">
      <w:pPr>
        <w:pStyle w:val="NoSpacing"/>
        <w:rPr>
          <w:b/>
        </w:rPr>
      </w:pPr>
    </w:p>
    <w:p w:rsidR="00776380" w:rsidRPr="00B63A28" w:rsidRDefault="00776380" w:rsidP="00776380">
      <w:pPr>
        <w:pStyle w:val="NoSpacing"/>
        <w:rPr>
          <w:b/>
        </w:rPr>
      </w:pPr>
      <w:r w:rsidRPr="00B63A28">
        <w:rPr>
          <w:b/>
        </w:rPr>
        <w:t>We may wish to contact yo</w:t>
      </w:r>
      <w:r>
        <w:rPr>
          <w:b/>
        </w:rPr>
        <w:t>u to discuss your response to Q5</w:t>
      </w:r>
      <w:r w:rsidRPr="00B63A28">
        <w:rPr>
          <w:b/>
        </w:rPr>
        <w:t xml:space="preserve"> in more detail; if you are happy for us to do so, please provide us with your name and contact details below:</w:t>
      </w:r>
    </w:p>
    <w:p w:rsidR="00776380" w:rsidRDefault="00776380" w:rsidP="00776380">
      <w:pPr>
        <w:pStyle w:val="NoSpacing"/>
        <w:rPr>
          <w:b/>
          <w:i/>
        </w:rPr>
      </w:pPr>
    </w:p>
    <w:p w:rsidR="00776380" w:rsidRDefault="00776380" w:rsidP="00776380">
      <w:pPr>
        <w:pStyle w:val="NoSpacing"/>
        <w:rPr>
          <w:b/>
        </w:rPr>
      </w:pPr>
    </w:p>
    <w:p w:rsidR="00776380" w:rsidRDefault="00776380" w:rsidP="00776380">
      <w:pPr>
        <w:pStyle w:val="NoSpacing"/>
        <w:rPr>
          <w:b/>
        </w:rPr>
      </w:pPr>
      <w:r>
        <w:rPr>
          <w:b/>
        </w:rPr>
        <w:t>Name:</w:t>
      </w:r>
      <w:r>
        <w:rPr>
          <w:b/>
        </w:rPr>
        <w:tab/>
      </w:r>
      <w:r>
        <w:rPr>
          <w:b/>
        </w:rPr>
        <w:tab/>
      </w:r>
      <w:r>
        <w:rPr>
          <w:b/>
        </w:rPr>
        <w:tab/>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w:t>
      </w:r>
    </w:p>
    <w:p w:rsidR="00776380" w:rsidRDefault="00776380" w:rsidP="00776380">
      <w:pPr>
        <w:pStyle w:val="NoSpacing"/>
        <w:rPr>
          <w:b/>
        </w:rPr>
      </w:pPr>
    </w:p>
    <w:p w:rsidR="00776380" w:rsidRPr="00B63A28" w:rsidRDefault="00776380" w:rsidP="00776380">
      <w:pPr>
        <w:pStyle w:val="NoSpacing"/>
        <w:rPr>
          <w:b/>
        </w:rPr>
      </w:pPr>
      <w:r>
        <w:rPr>
          <w:b/>
        </w:rPr>
        <w:t>Contact details:</w:t>
      </w:r>
      <w:r>
        <w:rPr>
          <w:b/>
        </w:rPr>
        <w:tab/>
      </w:r>
      <w:r>
        <w:rPr>
          <w:b/>
        </w:rPr>
        <w:tab/>
        <w:t>__________________________________</w:t>
      </w:r>
    </w:p>
    <w:p w:rsidR="00776380" w:rsidRDefault="00776380" w:rsidP="00776380">
      <w:pPr>
        <w:pStyle w:val="NoSpacing"/>
        <w:rPr>
          <w:b/>
          <w:i/>
        </w:rPr>
      </w:pPr>
    </w:p>
    <w:p w:rsidR="00776380" w:rsidRDefault="00776380" w:rsidP="00776380">
      <w:pPr>
        <w:pStyle w:val="NoSpacing"/>
        <w:rPr>
          <w:b/>
          <w:i/>
        </w:rPr>
      </w:pPr>
    </w:p>
    <w:p w:rsidR="00776380" w:rsidRDefault="00776380" w:rsidP="00776380">
      <w:pPr>
        <w:pStyle w:val="NoSpacing"/>
        <w:rPr>
          <w:b/>
          <w:i/>
        </w:rPr>
      </w:pPr>
    </w:p>
    <w:p w:rsidR="00776380" w:rsidRPr="00AE4BD0" w:rsidRDefault="00776380" w:rsidP="00776380">
      <w:pPr>
        <w:pStyle w:val="NoSpacing"/>
        <w:jc w:val="center"/>
        <w:rPr>
          <w:i/>
        </w:rPr>
      </w:pPr>
      <w:r w:rsidRPr="00AE4BD0">
        <w:rPr>
          <w:i/>
        </w:rPr>
        <w:t>Thank you for taking t</w:t>
      </w:r>
      <w:r>
        <w:rPr>
          <w:i/>
        </w:rPr>
        <w:t>he time to complete this survey</w:t>
      </w:r>
    </w:p>
    <w:p w:rsidR="00776380" w:rsidRDefault="00776380" w:rsidP="009D3F3E"/>
    <w:sectPr w:rsidR="007763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16B" w:rsidRDefault="0082716B" w:rsidP="00BD4C0C">
      <w:pPr>
        <w:spacing w:after="0" w:line="240" w:lineRule="auto"/>
      </w:pPr>
      <w:r>
        <w:separator/>
      </w:r>
    </w:p>
  </w:endnote>
  <w:endnote w:type="continuationSeparator" w:id="0">
    <w:p w:rsidR="0082716B" w:rsidRDefault="0082716B" w:rsidP="00BD4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16B" w:rsidRDefault="0082716B" w:rsidP="00BD4C0C">
      <w:pPr>
        <w:spacing w:after="0" w:line="240" w:lineRule="auto"/>
      </w:pPr>
      <w:r>
        <w:separator/>
      </w:r>
    </w:p>
  </w:footnote>
  <w:footnote w:type="continuationSeparator" w:id="0">
    <w:p w:rsidR="0082716B" w:rsidRDefault="0082716B" w:rsidP="00BD4C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2690"/>
    <w:multiLevelType w:val="hybridMultilevel"/>
    <w:tmpl w:val="56CE8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700B88"/>
    <w:multiLevelType w:val="hybridMultilevel"/>
    <w:tmpl w:val="B7BAEE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811809"/>
    <w:multiLevelType w:val="hybridMultilevel"/>
    <w:tmpl w:val="B1D0E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AC3DFF"/>
    <w:multiLevelType w:val="hybridMultilevel"/>
    <w:tmpl w:val="32D43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70A"/>
    <w:rsid w:val="000051E2"/>
    <w:rsid w:val="000447E5"/>
    <w:rsid w:val="000D1200"/>
    <w:rsid w:val="00161131"/>
    <w:rsid w:val="00330BFF"/>
    <w:rsid w:val="00385850"/>
    <w:rsid w:val="00442DFF"/>
    <w:rsid w:val="00470201"/>
    <w:rsid w:val="004903C6"/>
    <w:rsid w:val="004C5D7C"/>
    <w:rsid w:val="00697063"/>
    <w:rsid w:val="0075670A"/>
    <w:rsid w:val="00776380"/>
    <w:rsid w:val="00796F94"/>
    <w:rsid w:val="007B253C"/>
    <w:rsid w:val="007C70EA"/>
    <w:rsid w:val="007F2A03"/>
    <w:rsid w:val="007F699A"/>
    <w:rsid w:val="0082716B"/>
    <w:rsid w:val="00866AB4"/>
    <w:rsid w:val="009D3F3E"/>
    <w:rsid w:val="009F24D4"/>
    <w:rsid w:val="00A362F1"/>
    <w:rsid w:val="00A468A3"/>
    <w:rsid w:val="00B31027"/>
    <w:rsid w:val="00B76B59"/>
    <w:rsid w:val="00BD4C0C"/>
    <w:rsid w:val="00C30F26"/>
    <w:rsid w:val="00CA4FEF"/>
    <w:rsid w:val="00CB43A4"/>
    <w:rsid w:val="00CB5AB5"/>
    <w:rsid w:val="00DC3571"/>
    <w:rsid w:val="00DD07EB"/>
    <w:rsid w:val="00E87B76"/>
    <w:rsid w:val="00F54CBA"/>
    <w:rsid w:val="00F76E48"/>
    <w:rsid w:val="00FC223E"/>
    <w:rsid w:val="00FD6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0A8459D-6016-4A38-BF12-76C58BE4F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23E"/>
    <w:pPr>
      <w:ind w:left="720"/>
      <w:contextualSpacing/>
    </w:pPr>
  </w:style>
  <w:style w:type="paragraph" w:styleId="Header">
    <w:name w:val="header"/>
    <w:basedOn w:val="Normal"/>
    <w:link w:val="HeaderChar"/>
    <w:uiPriority w:val="99"/>
    <w:unhideWhenUsed/>
    <w:rsid w:val="00BD4C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C0C"/>
  </w:style>
  <w:style w:type="paragraph" w:styleId="Footer">
    <w:name w:val="footer"/>
    <w:basedOn w:val="Normal"/>
    <w:link w:val="FooterChar"/>
    <w:uiPriority w:val="99"/>
    <w:unhideWhenUsed/>
    <w:rsid w:val="00BD4C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C0C"/>
  </w:style>
  <w:style w:type="table" w:styleId="TableGrid">
    <w:name w:val="Table Grid"/>
    <w:basedOn w:val="TableNormal"/>
    <w:uiPriority w:val="59"/>
    <w:rsid w:val="00161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76380"/>
    <w:pPr>
      <w:spacing w:after="0" w:line="240" w:lineRule="auto"/>
    </w:pPr>
  </w:style>
  <w:style w:type="paragraph" w:styleId="BalloonText">
    <w:name w:val="Balloon Text"/>
    <w:basedOn w:val="Normal"/>
    <w:link w:val="BalloonTextChar"/>
    <w:uiPriority w:val="99"/>
    <w:semiHidden/>
    <w:unhideWhenUsed/>
    <w:rsid w:val="00776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3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1620</Words>
  <Characters>9239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10838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North</dc:creator>
  <cp:lastModifiedBy>Angie Contestabile</cp:lastModifiedBy>
  <cp:revision>2</cp:revision>
  <dcterms:created xsi:type="dcterms:W3CDTF">2017-11-28T09:50:00Z</dcterms:created>
  <dcterms:modified xsi:type="dcterms:W3CDTF">2017-11-28T09:50:00Z</dcterms:modified>
</cp:coreProperties>
</file>