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43888890"/>
        <w:docPartObj>
          <w:docPartGallery w:val="Cover Pages"/>
          <w:docPartUnique/>
        </w:docPartObj>
      </w:sdtPr>
      <w:sdtEndPr>
        <w:rPr>
          <w:rFonts w:eastAsia="Times New Roman" w:cs="Arial"/>
          <w:b/>
          <w:bCs/>
          <w:szCs w:val="24"/>
          <w:lang w:eastAsia="en-GB"/>
        </w:rPr>
      </w:sdtEndPr>
      <w:sdtContent>
        <w:p w:rsidR="00B85DD2" w:rsidRPr="00B85DD2" w:rsidRDefault="00073DEC" w:rsidP="009554F3">
          <w:pPr>
            <w:spacing w:before="1600" w:after="1200"/>
            <w:rPr>
              <w:rFonts w:ascii="Arial-BoldMT" w:hAnsi="Arial-BoldMT" w:cs="Arial-BoldMT"/>
              <w:b/>
              <w:bCs/>
              <w:sz w:val="48"/>
              <w:szCs w:val="48"/>
            </w:rPr>
          </w:pPr>
          <w:r w:rsidRPr="00B85DD2">
            <w:rPr>
              <w:rFonts w:ascii="Arial-BoldMT" w:hAnsi="Arial-BoldMT" w:cs="Arial-BoldMT"/>
              <w:b/>
              <w:bCs/>
              <w:sz w:val="48"/>
              <w:szCs w:val="48"/>
              <w:lang w:val="cy-GB"/>
            </w:rPr>
            <w:t xml:space="preserve">Is-Ddeddfau Harbwr Porthcawl </w:t>
          </w:r>
        </w:p>
        <w:p w:rsidR="00B85DD2" w:rsidRPr="00B85DD2" w:rsidRDefault="00FF5DF6" w:rsidP="004743C6">
          <w:pPr>
            <w:spacing w:after="7700"/>
            <w:rPr>
              <w:rFonts w:ascii="Arial-BoldMT" w:hAnsi="Arial-BoldMT" w:cs="Arial-BoldMT"/>
              <w:b/>
              <w:bCs/>
              <w:sz w:val="40"/>
              <w:szCs w:val="40"/>
            </w:rPr>
          </w:pPr>
          <w:r>
            <w:rPr>
              <w:rFonts w:ascii="Arial-BoldMT" w:hAnsi="Arial-BoldMT" w:cs="Arial-BoldMT"/>
              <w:b/>
              <w:bCs/>
              <w:sz w:val="40"/>
              <w:szCs w:val="40"/>
              <w:lang w:val="cy-GB"/>
            </w:rPr>
            <w:t xml:space="preserve">Datganiad Ysgrifenedig Cychwynnol </w:t>
          </w:r>
          <w:r w:rsidR="00135A72">
            <w:rPr>
              <w:rFonts w:ascii="Arial-BoldMT" w:hAnsi="Arial-BoldMT" w:cs="Arial-BoldMT"/>
              <w:b/>
              <w:bCs/>
              <w:sz w:val="40"/>
              <w:szCs w:val="40"/>
              <w:lang w:val="cy-GB"/>
            </w:rPr>
            <w:t>yn unol â</w:t>
          </w:r>
          <w:r>
            <w:rPr>
              <w:rFonts w:ascii="Arial-BoldMT" w:hAnsi="Arial-BoldMT" w:cs="Arial-BoldMT"/>
              <w:b/>
              <w:bCs/>
              <w:sz w:val="40"/>
              <w:szCs w:val="40"/>
              <w:lang w:val="cy-GB"/>
            </w:rPr>
            <w:t xml:space="preserve"> Deddf Is-ddeddfau Llywodraeth Leol (Cymru) 2012</w:t>
          </w:r>
        </w:p>
        <w:p w:rsidR="00B85DD2" w:rsidRPr="00B85DD2" w:rsidRDefault="00BD61AE" w:rsidP="00B85DD2">
          <w:pPr>
            <w:spacing w:after="0" w:line="360" w:lineRule="auto"/>
            <w:rPr>
              <w:rFonts w:cs="Arial"/>
              <w:szCs w:val="24"/>
            </w:rPr>
          </w:pPr>
          <w:r w:rsidRPr="00B85DD2">
            <w:rPr>
              <w:rFonts w:cs="Arial"/>
              <w:b/>
              <w:bCs/>
              <w:color w:val="009390"/>
              <w:szCs w:val="24"/>
              <w:lang w:val="cy-GB"/>
            </w:rPr>
            <w:lastRenderedPageBreak/>
            <w:t>Dyddiad cyhoeddi:</w:t>
          </w:r>
          <w:r w:rsidRPr="00B85DD2">
            <w:rPr>
              <w:rFonts w:cs="Arial"/>
              <w:color w:val="009390"/>
              <w:szCs w:val="24"/>
              <w:lang w:val="cy-GB"/>
            </w:rPr>
            <w:t xml:space="preserve"> </w:t>
          </w:r>
          <w:r w:rsidR="005837CE" w:rsidRPr="005837CE">
            <w:rPr>
              <w:rFonts w:cs="Arial"/>
              <w:szCs w:val="24"/>
              <w:lang w:val="cy-GB"/>
            </w:rPr>
            <w:t>Dydd Llun 23 Awst</w:t>
          </w:r>
        </w:p>
        <w:p w:rsidR="005837CE" w:rsidRPr="005837CE" w:rsidRDefault="00BD61AE" w:rsidP="005837CE">
          <w:pPr>
            <w:pStyle w:val="NoSpacing"/>
            <w:spacing w:before="120" w:after="240"/>
            <w:rPr>
              <w:rFonts w:cs="Arial"/>
              <w:szCs w:val="24"/>
              <w:lang w:val="cy-GB"/>
            </w:rPr>
          </w:pPr>
          <w:r w:rsidRPr="00B85DD2">
            <w:rPr>
              <w:rFonts w:cs="Arial"/>
              <w:b/>
              <w:bCs/>
              <w:color w:val="009390"/>
              <w:szCs w:val="24"/>
              <w:lang w:val="cy-GB"/>
            </w:rPr>
            <w:t>Camau i'w cymryd:</w:t>
          </w:r>
          <w:r w:rsidRPr="00B85DD2">
            <w:rPr>
              <w:rFonts w:cs="Arial"/>
              <w:color w:val="009390"/>
              <w:szCs w:val="24"/>
              <w:lang w:val="cy-GB"/>
            </w:rPr>
            <w:t xml:space="preserve"> </w:t>
          </w:r>
          <w:r w:rsidR="005837CE">
            <w:rPr>
              <w:rFonts w:cs="Arial"/>
              <w:szCs w:val="24"/>
              <w:lang w:val="cy-GB"/>
            </w:rPr>
            <w:t xml:space="preserve">Ymateber erbyn </w:t>
          </w:r>
          <w:r w:rsidR="005837CE" w:rsidRPr="005837CE">
            <w:rPr>
              <w:rFonts w:cs="Arial"/>
              <w:szCs w:val="24"/>
              <w:lang w:val="cy-GB"/>
            </w:rPr>
            <w:t>Dydd Gwener 14 Tachwedd</w:t>
          </w:r>
        </w:p>
        <w:p w:rsidR="00B85DD2" w:rsidRDefault="00BD61AE" w:rsidP="00B85DD2">
          <w:pPr>
            <w:spacing w:after="0" w:line="360" w:lineRule="auto"/>
            <w:rPr>
              <w:rFonts w:eastAsia="Times New Roman" w:cs="Arial"/>
              <w:b/>
              <w:bCs/>
              <w:szCs w:val="24"/>
              <w:lang w:eastAsia="en-GB"/>
            </w:rPr>
          </w:pPr>
          <w:r w:rsidRPr="00B85DD2">
            <w:rPr>
              <w:rFonts w:cs="Arial"/>
              <w:b/>
              <w:bCs/>
              <w:color w:val="009390"/>
              <w:szCs w:val="24"/>
              <w:lang w:val="cy-GB"/>
            </w:rPr>
            <w:t>Gwefan:</w:t>
          </w:r>
          <w:r w:rsidRPr="00B85DD2">
            <w:rPr>
              <w:rFonts w:cs="Arial"/>
              <w:color w:val="009390"/>
              <w:szCs w:val="24"/>
              <w:lang w:val="cy-GB"/>
            </w:rPr>
            <w:t xml:space="preserve"> </w:t>
          </w:r>
          <w:r w:rsidR="0057497C" w:rsidRPr="0057497C">
            <w:rPr>
              <w:rFonts w:cs="Arial"/>
              <w:szCs w:val="24"/>
              <w:lang w:val="cy-GB"/>
            </w:rPr>
            <w:t>https://www.bridgend.gov.uk/cy/fy-nghyngor/cydraddoldeb-ac-ymgysylltu/ymgynghoriadau/</w:t>
          </w:r>
          <w:r>
            <w:rPr>
              <w:rFonts w:eastAsia="Times New Roman" w:cs="Arial"/>
              <w:bCs/>
              <w:szCs w:val="24"/>
              <w:lang w:val="cy-GB" w:eastAsia="en-GB"/>
            </w:rPr>
            <w:br w:type="page"/>
          </w:r>
        </w:p>
      </w:sdtContent>
    </w:sdt>
    <w:sdt>
      <w:sdtPr>
        <w:rPr>
          <w:rFonts w:ascii="Arial" w:eastAsiaTheme="minorHAnsi" w:hAnsi="Arial" w:cs="Arial"/>
          <w:color w:val="auto"/>
          <w:sz w:val="24"/>
          <w:szCs w:val="24"/>
          <w:lang w:val="en-GB"/>
        </w:rPr>
        <w:id w:val="-11205240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85DD2" w:rsidRPr="00B85DD2" w:rsidRDefault="00BD61AE" w:rsidP="00E3413D">
          <w:pPr>
            <w:pStyle w:val="TOCHeading"/>
            <w:spacing w:after="400"/>
            <w:rPr>
              <w:rFonts w:ascii="Arial" w:hAnsi="Arial" w:cs="Arial"/>
              <w:b/>
              <w:color w:val="auto"/>
              <w:sz w:val="28"/>
              <w:szCs w:val="28"/>
            </w:rPr>
          </w:pPr>
          <w:r w:rsidRPr="00B85DD2">
            <w:rPr>
              <w:rFonts w:ascii="Arial" w:hAnsi="Arial" w:cs="Arial"/>
              <w:b/>
              <w:bCs/>
              <w:color w:val="auto"/>
              <w:sz w:val="28"/>
              <w:szCs w:val="28"/>
              <w:lang w:val="cy-GB"/>
            </w:rPr>
            <w:t>Cynnwys</w:t>
          </w:r>
        </w:p>
        <w:p w:rsidR="000E3BD8" w:rsidRPr="00FA54A9" w:rsidRDefault="00BD61A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cy-GB" w:eastAsia="en-GB"/>
            </w:rPr>
          </w:pPr>
          <w:r w:rsidRPr="00FA54A9">
            <w:rPr>
              <w:rFonts w:cs="Arial"/>
              <w:szCs w:val="24"/>
              <w:lang w:val="cy-GB"/>
            </w:rPr>
            <w:fldChar w:fldCharType="begin"/>
          </w:r>
          <w:r w:rsidRPr="00FA54A9">
            <w:rPr>
              <w:rFonts w:cs="Arial"/>
              <w:szCs w:val="24"/>
              <w:lang w:val="cy-GB"/>
            </w:rPr>
            <w:instrText xml:space="preserve"> TOC \o "1-2" \h \z \u </w:instrText>
          </w:r>
          <w:r w:rsidRPr="00FA54A9">
            <w:rPr>
              <w:rFonts w:cs="Arial"/>
              <w:szCs w:val="24"/>
              <w:lang w:val="cy-GB"/>
            </w:rPr>
            <w:fldChar w:fldCharType="separate"/>
          </w:r>
          <w:hyperlink w:anchor="_Toc68682273" w:history="1">
            <w:r w:rsidR="00FA54A9" w:rsidRPr="00FA54A9">
              <w:rPr>
                <w:rStyle w:val="Hyperlink"/>
                <w:noProof/>
                <w:lang w:val="cy-GB"/>
              </w:rPr>
              <w:t>Trosolwg</w:t>
            </w:r>
            <w:r w:rsidRPr="00FA54A9">
              <w:rPr>
                <w:noProof/>
                <w:webHidden/>
                <w:lang w:val="cy-GB"/>
              </w:rPr>
              <w:tab/>
            </w:r>
            <w:r w:rsidR="00FA54A9">
              <w:rPr>
                <w:noProof/>
                <w:webHidden/>
                <w:lang w:val="cy-GB"/>
              </w:rPr>
              <w:t>3</w:t>
            </w:r>
          </w:hyperlink>
        </w:p>
        <w:p w:rsidR="000E3BD8" w:rsidRPr="00FA54A9" w:rsidRDefault="005837C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cy-GB" w:eastAsia="en-GB"/>
            </w:rPr>
          </w:pPr>
          <w:hyperlink w:anchor="_Toc68682274" w:history="1">
            <w:r w:rsidR="00BD61AE" w:rsidRPr="00FA54A9">
              <w:rPr>
                <w:rStyle w:val="Hyperlink"/>
                <w:noProof/>
                <w:lang w:val="cy-GB"/>
              </w:rPr>
              <w:t>D</w:t>
            </w:r>
            <w:r w:rsidR="00FA54A9" w:rsidRPr="00FA54A9">
              <w:rPr>
                <w:rStyle w:val="Hyperlink"/>
                <w:noProof/>
                <w:lang w:val="cy-GB"/>
              </w:rPr>
              <w:t>iogelu Data</w:t>
            </w:r>
            <w:r w:rsidR="00BD61AE" w:rsidRPr="00FA54A9">
              <w:rPr>
                <w:noProof/>
                <w:webHidden/>
                <w:lang w:val="cy-GB"/>
              </w:rPr>
              <w:tab/>
            </w:r>
            <w:r w:rsidR="00FA54A9">
              <w:rPr>
                <w:noProof/>
                <w:webHidden/>
                <w:lang w:val="cy-GB"/>
              </w:rPr>
              <w:t>3</w:t>
            </w:r>
          </w:hyperlink>
        </w:p>
        <w:p w:rsidR="000E3BD8" w:rsidRPr="00FA54A9" w:rsidRDefault="00FA54A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cy-GB" w:eastAsia="en-GB"/>
            </w:rPr>
          </w:pPr>
          <w:r w:rsidRPr="00FA54A9">
            <w:rPr>
              <w:lang w:val="cy-GB"/>
            </w:rPr>
            <w:t xml:space="preserve">Cefndir </w:t>
          </w:r>
          <w:hyperlink w:anchor="_Toc68682275" w:history="1">
            <w:r w:rsidRPr="00FA54A9">
              <w:rPr>
                <w:rStyle w:val="Hyperlink"/>
                <w:noProof/>
                <w:lang w:val="cy-GB"/>
              </w:rPr>
              <w:t>a</w:t>
            </w:r>
          </w:hyperlink>
          <w:r w:rsidRPr="00FA54A9">
            <w:rPr>
              <w:lang w:val="cy-GB"/>
            </w:rPr>
            <w:t xml:space="preserve"> </w:t>
          </w:r>
          <w:hyperlink w:anchor="_Toc68682276" w:history="1">
            <w:r w:rsidRPr="00FA54A9">
              <w:rPr>
                <w:rStyle w:val="Hyperlink"/>
                <w:noProof/>
                <w:lang w:val="cy-GB"/>
              </w:rPr>
              <w:t>Gwybodaeth</w:t>
            </w:r>
            <w:r w:rsidR="00BD61AE" w:rsidRPr="00FA54A9">
              <w:rPr>
                <w:noProof/>
                <w:webHidden/>
                <w:lang w:val="cy-GB"/>
              </w:rPr>
              <w:tab/>
            </w:r>
            <w:r>
              <w:rPr>
                <w:noProof/>
                <w:webHidden/>
                <w:lang w:val="cy-GB"/>
              </w:rPr>
              <w:t>3</w:t>
            </w:r>
          </w:hyperlink>
        </w:p>
        <w:p w:rsidR="000E3BD8" w:rsidRPr="00FA54A9" w:rsidRDefault="005837CE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cy-GB" w:eastAsia="en-GB"/>
            </w:rPr>
          </w:pPr>
          <w:hyperlink w:anchor="_Toc68682277" w:history="1">
            <w:r w:rsidR="00FA54A9" w:rsidRPr="00FA54A9">
              <w:rPr>
                <w:rStyle w:val="Hyperlink"/>
                <w:noProof/>
                <w:lang w:val="cy-GB"/>
              </w:rPr>
              <w:t>Asesiadau Effaith</w:t>
            </w:r>
            <w:r w:rsidR="00BD61AE" w:rsidRPr="00FA54A9">
              <w:rPr>
                <w:noProof/>
                <w:webHidden/>
                <w:lang w:val="cy-GB"/>
              </w:rPr>
              <w:tab/>
            </w:r>
            <w:r w:rsidR="00BD61AE" w:rsidRPr="00FA54A9">
              <w:rPr>
                <w:noProof/>
                <w:webHidden/>
                <w:lang w:val="cy-GB"/>
              </w:rPr>
              <w:fldChar w:fldCharType="begin"/>
            </w:r>
            <w:r w:rsidR="00BD61AE" w:rsidRPr="00FA54A9">
              <w:rPr>
                <w:noProof/>
                <w:webHidden/>
                <w:lang w:val="cy-GB"/>
              </w:rPr>
              <w:instrText xml:space="preserve"> PAGEREF _Toc68682277 \h </w:instrText>
            </w:r>
            <w:r w:rsidR="00BD61AE" w:rsidRPr="00FA54A9">
              <w:rPr>
                <w:noProof/>
                <w:webHidden/>
                <w:lang w:val="cy-GB"/>
              </w:rPr>
            </w:r>
            <w:r w:rsidR="00BD61AE" w:rsidRPr="00FA54A9">
              <w:rPr>
                <w:noProof/>
                <w:webHidden/>
                <w:lang w:val="cy-GB"/>
              </w:rPr>
              <w:fldChar w:fldCharType="separate"/>
            </w:r>
            <w:r w:rsidR="00BD61AE" w:rsidRPr="00FA54A9">
              <w:rPr>
                <w:noProof/>
                <w:webHidden/>
                <w:lang w:val="cy-GB"/>
              </w:rPr>
              <w:t>6</w:t>
            </w:r>
            <w:r w:rsidR="00BD61AE" w:rsidRPr="00FA54A9">
              <w:rPr>
                <w:noProof/>
                <w:webHidden/>
                <w:lang w:val="cy-GB"/>
              </w:rPr>
              <w:fldChar w:fldCharType="end"/>
            </w:r>
          </w:hyperlink>
        </w:p>
        <w:p w:rsidR="00FA54A9" w:rsidRPr="00FA54A9" w:rsidRDefault="00BD61AE" w:rsidP="00FA54A9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val="cy-GB" w:eastAsia="en-GB"/>
            </w:rPr>
          </w:pPr>
          <w:r w:rsidRPr="00FA54A9">
            <w:rPr>
              <w:rFonts w:cs="Arial"/>
              <w:szCs w:val="24"/>
              <w:lang w:val="cy-GB"/>
            </w:rPr>
            <w:fldChar w:fldCharType="end"/>
          </w:r>
          <w:bookmarkStart w:id="0" w:name="_Toc24119542"/>
          <w:r w:rsidR="00FA54A9" w:rsidRPr="00FA54A9">
            <w:rPr>
              <w:noProof/>
              <w:lang w:val="cy-GB"/>
            </w:rPr>
            <w:t>Y Broses Ymgynghori</w:t>
          </w:r>
          <w:r w:rsidR="00FA54A9" w:rsidRPr="00FA54A9">
            <w:rPr>
              <w:noProof/>
              <w:webHidden/>
              <w:lang w:val="cy-GB"/>
            </w:rPr>
            <w:tab/>
          </w:r>
          <w:r w:rsidR="00FA54A9">
            <w:rPr>
              <w:noProof/>
              <w:webHidden/>
              <w:lang w:val="cy-GB"/>
            </w:rPr>
            <w:t>7</w:t>
          </w:r>
        </w:p>
        <w:p w:rsidR="00B85DD2" w:rsidRPr="00B85DD2" w:rsidRDefault="005837CE" w:rsidP="00E3413D">
          <w:pPr>
            <w:spacing w:line="360" w:lineRule="auto"/>
            <w:rPr>
              <w:rFonts w:cs="Arial"/>
              <w:szCs w:val="24"/>
            </w:rPr>
          </w:pPr>
        </w:p>
      </w:sdtContent>
    </w:sdt>
    <w:p w:rsidR="00B85DD2" w:rsidRDefault="00BD61AE" w:rsidP="00CE112F">
      <w:r>
        <w:rPr>
          <w:lang w:val="cy-GB"/>
        </w:rPr>
        <w:br w:type="page"/>
      </w:r>
    </w:p>
    <w:p w:rsidR="00B85DD2" w:rsidRPr="00D97F93" w:rsidRDefault="00BD61AE" w:rsidP="00B85DD2">
      <w:pPr>
        <w:pStyle w:val="Heading2"/>
      </w:pPr>
      <w:bookmarkStart w:id="1" w:name="_Toc68682273"/>
      <w:r>
        <w:rPr>
          <w:lang w:val="cy-GB"/>
        </w:rPr>
        <w:lastRenderedPageBreak/>
        <w:t>Trosolwg</w:t>
      </w:r>
      <w:bookmarkEnd w:id="0"/>
      <w:bookmarkEnd w:id="1"/>
    </w:p>
    <w:p w:rsidR="00B85DD2" w:rsidRDefault="00BD61AE" w:rsidP="00C966A4">
      <w:pPr>
        <w:autoSpaceDE w:val="0"/>
        <w:autoSpaceDN w:val="0"/>
        <w:adjustRightInd w:val="0"/>
        <w:spacing w:before="100" w:beforeAutospacing="1" w:after="100" w:afterAutospacing="1" w:line="360" w:lineRule="auto"/>
      </w:pPr>
      <w:r w:rsidRPr="00D06AE3">
        <w:rPr>
          <w:lang w:val="cy-GB"/>
        </w:rPr>
        <w:t>Bwriad yr ymgynghoriad hwn yw gwahodd pobl i fynegi barn am faterion sy'n codi yn Harbwr Porthcawl ac i holi ai mabwysiadu is-ddeddfau newydd</w:t>
      </w:r>
      <w:r w:rsidR="00C966A4">
        <w:rPr>
          <w:rFonts w:ascii="ArialMT" w:hAnsi="ArialMT" w:cs="ArialMT"/>
          <w:szCs w:val="24"/>
          <w:lang w:val="cy-GB"/>
        </w:rPr>
        <w:t xml:space="preserve"> yn Harbwr Porthcawl</w:t>
      </w:r>
      <w:r w:rsidR="00626B70">
        <w:rPr>
          <w:rFonts w:ascii="ArialMT" w:hAnsi="ArialMT" w:cs="ArialMT"/>
          <w:szCs w:val="24"/>
          <w:lang w:val="cy-GB"/>
        </w:rPr>
        <w:t xml:space="preserve"> ac </w:t>
      </w:r>
      <w:r w:rsidR="00C966A4">
        <w:rPr>
          <w:rFonts w:ascii="ArialMT" w:hAnsi="ArialMT" w:cs="ArialMT"/>
          <w:szCs w:val="24"/>
          <w:lang w:val="cy-GB"/>
        </w:rPr>
        <w:t>adolygu'r is-ddeddfau sydd mewn grym yno ar hyn o bryd</w:t>
      </w:r>
      <w:r w:rsidR="00626B70">
        <w:rPr>
          <w:rFonts w:ascii="ArialMT" w:hAnsi="ArialMT" w:cs="ArialMT"/>
          <w:szCs w:val="24"/>
          <w:lang w:val="cy-GB"/>
        </w:rPr>
        <w:t xml:space="preserve">, er mwyn </w:t>
      </w:r>
      <w:r w:rsidR="00C966A4">
        <w:rPr>
          <w:rFonts w:ascii="ArialMT" w:hAnsi="ArialMT" w:cs="ArialMT"/>
          <w:szCs w:val="24"/>
          <w:lang w:val="cy-GB"/>
        </w:rPr>
        <w:t xml:space="preserve">adlewyrchu'r gweithrediadau a'r gweithgareddau cyfredol, yw'r ffordd orau i'r Cyngor fwrw 'mlaen. </w:t>
      </w:r>
    </w:p>
    <w:p w:rsidR="00B85DD2" w:rsidRDefault="00BD61AE" w:rsidP="00B85DD2">
      <w:pPr>
        <w:pStyle w:val="Heading2"/>
      </w:pPr>
      <w:bookmarkStart w:id="2" w:name="_Toc24119544"/>
      <w:bookmarkStart w:id="3" w:name="_Toc68682274"/>
      <w:r>
        <w:rPr>
          <w:lang w:val="cy-GB"/>
        </w:rPr>
        <w:t xml:space="preserve">Diogelu </w:t>
      </w:r>
      <w:r w:rsidR="00087115">
        <w:rPr>
          <w:lang w:val="cy-GB"/>
        </w:rPr>
        <w:t>D</w:t>
      </w:r>
      <w:r>
        <w:rPr>
          <w:lang w:val="cy-GB"/>
        </w:rPr>
        <w:t xml:space="preserve">ata </w:t>
      </w:r>
      <w:bookmarkEnd w:id="2"/>
      <w:bookmarkEnd w:id="3"/>
    </w:p>
    <w:p w:rsidR="00B85DD2" w:rsidRPr="00D940E7" w:rsidRDefault="00BD61AE" w:rsidP="00E3413D">
      <w:pPr>
        <w:pStyle w:val="NoSpacing"/>
        <w:spacing w:beforeLines="0" w:before="100" w:beforeAutospacing="1" w:afterLines="0" w:afterAutospacing="1"/>
        <w:jc w:val="both"/>
      </w:pPr>
      <w:r w:rsidRPr="00D940E7">
        <w:rPr>
          <w:lang w:val="cy-GB"/>
        </w:rPr>
        <w:t xml:space="preserve">Sut y defnyddiwn y safbwyntiau a'r wybodaeth y byddwch yn eu rhannu â ni. </w:t>
      </w:r>
    </w:p>
    <w:p w:rsidR="00B85DD2" w:rsidRPr="007372EF" w:rsidRDefault="00BD61AE" w:rsidP="00E3413D">
      <w:pPr>
        <w:pStyle w:val="NoSpacing"/>
        <w:spacing w:beforeLines="0" w:before="100" w:beforeAutospacing="1" w:afterLines="0" w:afterAutospacing="1"/>
        <w:jc w:val="both"/>
      </w:pPr>
      <w:r w:rsidRPr="007372EF">
        <w:rPr>
          <w:lang w:val="cy-GB"/>
        </w:rPr>
        <w:t xml:space="preserve">Bydd staff Cyngor Bwrdeistref Sirol Pen-y-bont ar Ogwr yn gweld yr holl ymatebion a </w:t>
      </w:r>
      <w:r w:rsidR="00C35A39">
        <w:rPr>
          <w:lang w:val="cy-GB"/>
        </w:rPr>
        <w:t>gyflwynir</w:t>
      </w:r>
      <w:r w:rsidRPr="007372EF">
        <w:rPr>
          <w:lang w:val="cy-GB"/>
        </w:rPr>
        <w:t xml:space="preserve"> yn rhan o'r broses ymgynghori. Efallai y bydd adrannau eraill yn y Cyngor, neu aelodau o'r bwrdd gwasanaethau lleol, yn gweld yr wybodaeth hon hefyd er mwyn helpu i wella gwasanaethau. </w:t>
      </w:r>
    </w:p>
    <w:p w:rsidR="00B85DD2" w:rsidRPr="007372EF" w:rsidRDefault="00BD61AE" w:rsidP="00E3413D">
      <w:pPr>
        <w:pStyle w:val="NoSpacing"/>
        <w:spacing w:beforeLines="0" w:before="100" w:beforeAutospacing="1" w:afterLines="0" w:afterAutospacing="1"/>
        <w:jc w:val="both"/>
      </w:pPr>
      <w:r w:rsidRPr="007372EF">
        <w:rPr>
          <w:lang w:val="cy-GB"/>
        </w:rPr>
        <w:t xml:space="preserve">Efallai y bydd y Cyngor hefyd yn defnyddio'r wybodaeth a gasglwyd i gyhoeddi dogfennau dilynol sy'n uniongyrchol neu'n anuniongyrchol gysylltiedig â'r ymgynghoriad hwn. Serch hynny, ni fydd y Cyngor fyth yn datgelu dim gwybodaeth bersonol megis enwau neu gyfeiriadau a allai ddatgelu pwy yr ydych chi. </w:t>
      </w:r>
    </w:p>
    <w:p w:rsidR="00B85DD2" w:rsidRPr="007372EF" w:rsidRDefault="00BD61AE" w:rsidP="00E3413D">
      <w:pPr>
        <w:pStyle w:val="NoSpacing"/>
        <w:spacing w:beforeLines="0" w:before="100" w:beforeAutospacing="1" w:afterLines="0" w:afterAutospacing="1"/>
        <w:jc w:val="both"/>
      </w:pPr>
      <w:r w:rsidRPr="007372EF">
        <w:rPr>
          <w:lang w:val="cy-GB"/>
        </w:rPr>
        <w:t>Os nad ydych yn dymuno i'ch barn gael ei chyhoeddi, dywedwch hynny yn eich ymateb.</w:t>
      </w:r>
    </w:p>
    <w:p w:rsidR="00B85DD2" w:rsidRDefault="00BD61AE" w:rsidP="00B85DD2">
      <w:pPr>
        <w:pStyle w:val="Heading2"/>
      </w:pPr>
      <w:bookmarkStart w:id="4" w:name="_Toc24119546"/>
      <w:bookmarkStart w:id="5" w:name="_Toc68682275"/>
      <w:r w:rsidRPr="005275AE">
        <w:rPr>
          <w:lang w:val="cy-GB"/>
        </w:rPr>
        <w:t xml:space="preserve">Cefndir a </w:t>
      </w:r>
      <w:r w:rsidR="00087115">
        <w:rPr>
          <w:lang w:val="cy-GB"/>
        </w:rPr>
        <w:t>G</w:t>
      </w:r>
      <w:r w:rsidRPr="005275AE">
        <w:rPr>
          <w:lang w:val="cy-GB"/>
        </w:rPr>
        <w:t xml:space="preserve">wybodaeth </w:t>
      </w:r>
      <w:bookmarkEnd w:id="4"/>
      <w:bookmarkEnd w:id="5"/>
    </w:p>
    <w:p w:rsidR="00EB7A3E" w:rsidRPr="00EB7A3E" w:rsidRDefault="00BD61AE" w:rsidP="00EB7A3E">
      <w:pPr>
        <w:numPr>
          <w:ilvl w:val="1"/>
          <w:numId w:val="4"/>
        </w:num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Mae gan Gyngor Bwrdeistref Sirol Pen-y-bont ar Ogwr (“y Cyngor”) bwerau i gynorthwyo yng ngwaith gweithredu, cynnal a chadw a datblygu Harbwr Porthcawl (“yr Harbwr”), a rhaid iddo weithredu yn rhinwedd ei swyddogaeth fel Awdurdod yr Harbwr </w:t>
      </w:r>
      <w:r w:rsidR="00135A72">
        <w:rPr>
          <w:lang w:val="cy-GB"/>
        </w:rPr>
        <w:t xml:space="preserve">yn unol â </w:t>
      </w:r>
      <w:r w:rsidRPr="00EB7A3E">
        <w:rPr>
          <w:lang w:val="cy-GB"/>
        </w:rPr>
        <w:t xml:space="preserve">darpariaethau Rhan V o Ddeddf Cyngor Sir Morgannwg Ganol 1987 (“Deddf 1987”). Mae ardal yr Harbwr wedi'i dangos mewn lliw coch ar y cynllun sydd ynghlwm. </w:t>
      </w:r>
      <w:r w:rsidR="00461925">
        <w:rPr>
          <w:lang w:val="cy-GB"/>
        </w:rPr>
        <w:t>Sylwer</w:t>
      </w:r>
      <w:r w:rsidRPr="00EB7A3E">
        <w:rPr>
          <w:lang w:val="cy-GB"/>
        </w:rPr>
        <w:t xml:space="preserve"> mai'r Cyngor yw Awdurdod yr Harbwr a'r Cyngor sy'n gyfrifol am yr ymrwymiadau sy'n gysylltiedig â'r Harbwr.  </w:t>
      </w:r>
    </w:p>
    <w:p w:rsidR="00EB7A3E" w:rsidRPr="00EB7A3E" w:rsidRDefault="00BD61AE" w:rsidP="00EB7A3E">
      <w:pPr>
        <w:numPr>
          <w:ilvl w:val="1"/>
          <w:numId w:val="4"/>
        </w:numPr>
        <w:spacing w:before="100" w:beforeAutospacing="1" w:after="100" w:afterAutospacing="1" w:line="360" w:lineRule="auto"/>
      </w:pPr>
      <w:r w:rsidRPr="00EB7A3E">
        <w:rPr>
          <w:lang w:val="cy-GB"/>
        </w:rPr>
        <w:t>Mae Deddf 1987 yn rhoi pwerau i'r Cyngor ddelio â'r angorfeydd yn yr Harbwr.</w:t>
      </w:r>
    </w:p>
    <w:p w:rsidR="00EB7A3E" w:rsidRPr="00EB7A3E" w:rsidRDefault="00FF5DF6" w:rsidP="00EB7A3E">
      <w:pPr>
        <w:numPr>
          <w:ilvl w:val="1"/>
          <w:numId w:val="4"/>
        </w:numPr>
        <w:spacing w:before="100" w:beforeAutospacing="1" w:after="100" w:afterAutospacing="1" w:line="360" w:lineRule="auto"/>
      </w:pPr>
      <w:r>
        <w:rPr>
          <w:rFonts w:cs="Arial"/>
          <w:szCs w:val="24"/>
          <w:lang w:val="cy-GB"/>
        </w:rPr>
        <w:lastRenderedPageBreak/>
        <w:t>Mae Deddf 1987 hefyd yn galluogi'r Cyngor i greu is-ddeddfau i reoli materion amrywiol yn yr Harbwr.</w:t>
      </w:r>
    </w:p>
    <w:p w:rsidR="00EB7A3E" w:rsidRPr="00EB7A3E" w:rsidRDefault="00BD61AE" w:rsidP="00EB7A3E">
      <w:pPr>
        <w:numPr>
          <w:ilvl w:val="1"/>
          <w:numId w:val="4"/>
        </w:num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Mae mannau penodol o fewn i ardal yr Harbwr ar hyn o bryd yn ddarostyngedig i is-ddeddfau lleol sy'n nodi mannau ymdrochi drwy Borthcawl. Sefydlwyd yr is-ddeddfau hyn ym 1953 gan yr hyn a alwyd bryd hynny'n Gyngor Dosbarth Trefol Porthcawl. </w:t>
      </w:r>
    </w:p>
    <w:p w:rsidR="00EB7A3E" w:rsidRPr="00EB7A3E" w:rsidRDefault="00BD61AE" w:rsidP="00EB7A3E">
      <w:pPr>
        <w:spacing w:before="100" w:beforeAutospacing="1" w:after="100" w:afterAutospacing="1" w:line="360" w:lineRule="auto"/>
        <w:rPr>
          <w:b/>
        </w:rPr>
      </w:pPr>
      <w:r w:rsidRPr="00EB7A3E">
        <w:rPr>
          <w:b/>
          <w:bCs/>
          <w:lang w:val="cy-GB"/>
        </w:rPr>
        <w:t xml:space="preserve">Y Materion sy'n Codi a'r Ymgynghoriad </w:t>
      </w:r>
    </w:p>
    <w:p w:rsidR="00EB7A3E" w:rsidRPr="00EB7A3E" w:rsidRDefault="00BD61AE" w:rsidP="005C030B">
      <w:pPr>
        <w:numPr>
          <w:ilvl w:val="1"/>
          <w:numId w:val="4"/>
        </w:numPr>
        <w:spacing w:before="100" w:beforeAutospacing="1" w:after="100" w:afterAutospacing="1" w:line="360" w:lineRule="auto"/>
      </w:pPr>
      <w:r>
        <w:rPr>
          <w:lang w:val="cy-GB"/>
        </w:rPr>
        <w:t xml:space="preserve">Mae'r Cyngor wedi buddsoddi yn yr Harbwr ac mae wedi llwyddo i ddatblygu'r harbwr hanesyddol yn fan cymunedol lle cynhelir ystod o weithgareddau y gall pawb eu mwynhau. </w:t>
      </w:r>
    </w:p>
    <w:p w:rsidR="00EB7A3E" w:rsidRPr="00EB7A3E" w:rsidRDefault="00BD61AE" w:rsidP="00EB7A3E">
      <w:pPr>
        <w:numPr>
          <w:ilvl w:val="1"/>
          <w:numId w:val="4"/>
        </w:num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Daeth y datblygiad cyfalaf ar Farina Porthcawl i ben yn 2013. Lleolir y Marina o fewn i ardal Harbwr Porthcawl sy'n ymestyn y tu hwnt i ffiniau basn y Marina ac sy'n cynnwys ardaloedd Cosy Corner, y morglawdd, y goleudy a llawer mwy. </w:t>
      </w:r>
    </w:p>
    <w:p w:rsidR="00EB7A3E" w:rsidRPr="00EB7A3E" w:rsidRDefault="00BD61AE" w:rsidP="00EB7A3E">
      <w:pPr>
        <w:numPr>
          <w:ilvl w:val="1"/>
          <w:numId w:val="4"/>
        </w:num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O ganlyniad i'r prosiect datblygu hwn, mae gan Farina Porthcawl bellach ystod o nodweddion ychwanegol. Yn eu plith mae llifddor a system fynediad i gychod sy'n cynnig 70 o angorfeydd i ddeiliaid angorfeydd, ymwelwyr a gweithredwyr masnachol.  </w:t>
      </w:r>
    </w:p>
    <w:p w:rsidR="00EB7A3E" w:rsidRPr="00EB7A3E" w:rsidRDefault="00BD61AE" w:rsidP="00EB7A3E">
      <w:pPr>
        <w:numPr>
          <w:ilvl w:val="1"/>
          <w:numId w:val="4"/>
        </w:num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Mae Harbwr Porthcawl bellach yn denu grwpiau amrywiol o bobl. Mae rhai yn ymweld â'r safle am resymau cymdeithasol, fel cwsmeriaid y mangreoedd bwyd a diod masnachol, neu i gymryd rhan mewn ystod lawn o weithgareddau dŵr ac arfordirol. Mae'r gweithgareddau hyn yn cynnwys, ymhlith eraill, pysgota, hwylio, gyrru cychod modur, sgïo dŵr, padlfyrddio ar eich traed, nofio dŵr agored a cheufadu. </w:t>
      </w:r>
    </w:p>
    <w:p w:rsidR="00EB7A3E" w:rsidRPr="00EB7A3E" w:rsidRDefault="00BD61AE" w:rsidP="00EB7A3E">
      <w:pPr>
        <w:numPr>
          <w:ilvl w:val="1"/>
          <w:numId w:val="4"/>
        </w:num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Mae wedi dod yn gynyddol amlwg nad yw pwerau presennol y Cyngor </w:t>
      </w:r>
      <w:r w:rsidR="00135A72">
        <w:rPr>
          <w:lang w:val="cy-GB"/>
        </w:rPr>
        <w:t>yn unol â</w:t>
      </w:r>
      <w:r w:rsidRPr="00EB7A3E">
        <w:rPr>
          <w:lang w:val="cy-GB"/>
        </w:rPr>
        <w:t xml:space="preserve"> Deddf 1987 yn ddigon i reoli ac i ddiwallu anghenion yr Harbwr a'i weithrediadau cyfredol. Cwblhawyd yr Adroddiad Iechyd a Diogelwch a gomisiynwyd gan y Cyngor i adolygu'r Harbwr a'i weithrediadau ym Mehefin 2019. Mae'r adroddiad hwnnw'n rhoi sylw i nifer o faterion yn yr Harbwr. Gallai Is-ddeddfau 1953, i'r graddau y maent yn ymwneud â'r Harbwr, fod yn peryglu'r Cyngor gan eu bod yn dynodi'r ardal ochr yn ochr â'r llithrfa yn ardal dŵr ymdrochi diogel. </w:t>
      </w:r>
      <w:r w:rsidRPr="00EB7A3E">
        <w:rPr>
          <w:lang w:val="cy-GB"/>
        </w:rPr>
        <w:lastRenderedPageBreak/>
        <w:t xml:space="preserve">Argymhellwyd yn yr adroddiad y dylai'r is-ddeddfau cael eu hadolygu a'u diweddaru i adlewyrchu'r gweithrediadau cyfredol yn yr Harbwr. </w:t>
      </w:r>
    </w:p>
    <w:p w:rsidR="00EB7A3E" w:rsidRPr="00EB7A3E" w:rsidRDefault="00BD61AE" w:rsidP="00EB7A3E">
      <w:pPr>
        <w:numPr>
          <w:ilvl w:val="1"/>
          <w:numId w:val="4"/>
        </w:num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Er 2013, mae'r Harbwr wedi esblygu o fod yn safle o 25 o angorfeydd </w:t>
      </w:r>
      <w:r w:rsidR="00E03BE8">
        <w:rPr>
          <w:lang w:val="cy-GB"/>
        </w:rPr>
        <w:t>nad oedd yn denu llawer o</w:t>
      </w:r>
      <w:r w:rsidRPr="00EB7A3E">
        <w:rPr>
          <w:lang w:val="cy-GB"/>
        </w:rPr>
        <w:t xml:space="preserve"> ymwelwyr i fod yn gyrchfan o bwys â 70 o angorfeydd sy</w:t>
      </w:r>
      <w:r w:rsidR="00E03BE8">
        <w:rPr>
          <w:lang w:val="cy-GB"/>
        </w:rPr>
        <w:t xml:space="preserve">dd bellach yn </w:t>
      </w:r>
      <w:r w:rsidRPr="00EB7A3E">
        <w:rPr>
          <w:lang w:val="cy-GB"/>
        </w:rPr>
        <w:t>denu cychod ymweld</w:t>
      </w:r>
      <w:r w:rsidR="00F55A1C">
        <w:rPr>
          <w:lang w:val="cy-GB"/>
        </w:rPr>
        <w:t xml:space="preserve">. Mae yno hefyd </w:t>
      </w:r>
      <w:r w:rsidR="00B74F62">
        <w:rPr>
          <w:lang w:val="cy-GB"/>
        </w:rPr>
        <w:t>3 m</w:t>
      </w:r>
      <w:r w:rsidRPr="00EB7A3E">
        <w:rPr>
          <w:lang w:val="cy-GB"/>
        </w:rPr>
        <w:t xml:space="preserve">angre fasnachol a 14 o fflatiau yn Adeilad Jennings. Mae'r safle hefyd yn denu nifer fawr o ymwelwyr yn ystod cyfnodau brig. </w:t>
      </w:r>
    </w:p>
    <w:p w:rsidR="00EB7A3E" w:rsidRPr="00EB7A3E" w:rsidRDefault="00BD61AE" w:rsidP="00EB7A3E">
      <w:pPr>
        <w:numPr>
          <w:ilvl w:val="1"/>
          <w:numId w:val="4"/>
        </w:numPr>
        <w:spacing w:before="100" w:beforeAutospacing="1" w:after="100" w:afterAutospacing="1" w:line="360" w:lineRule="auto"/>
        <w:rPr>
          <w:i/>
        </w:rPr>
      </w:pPr>
      <w:r>
        <w:rPr>
          <w:lang w:val="cy-GB"/>
        </w:rPr>
        <w:t xml:space="preserve">Mae staff y Cyngor sy'n gweithio yn yr Harbwr yn cadw cofnod dyddiol o'r </w:t>
      </w:r>
      <w:r w:rsidR="00D13415">
        <w:rPr>
          <w:lang w:val="cy-GB"/>
        </w:rPr>
        <w:t>hyn</w:t>
      </w:r>
      <w:r>
        <w:rPr>
          <w:lang w:val="cy-GB"/>
        </w:rPr>
        <w:t xml:space="preserve"> sy'n digwydd yno ynghyd ag unrhyw faterion sy'n codi. Ar ôl monitro'r gweithgareddau yn yr Harbwr er 2013, mae wedi dod i'r amlwg bod staff y Cyngor yn gweld llawer o faterion yn codi'u pen dro ar ôl tro. Oni fydd modd </w:t>
      </w:r>
      <w:r w:rsidR="00262407">
        <w:rPr>
          <w:lang w:val="cy-GB"/>
        </w:rPr>
        <w:t>gweithredu</w:t>
      </w:r>
      <w:r>
        <w:rPr>
          <w:lang w:val="cy-GB"/>
        </w:rPr>
        <w:t xml:space="preserve">, mae'n annhebygol y bydd y materion hyn yn diflannu. Ymhlith </w:t>
      </w:r>
      <w:r w:rsidR="00E172F9">
        <w:rPr>
          <w:lang w:val="cy-GB"/>
        </w:rPr>
        <w:t>eu plith</w:t>
      </w:r>
      <w:r>
        <w:rPr>
          <w:lang w:val="cy-GB"/>
        </w:rPr>
        <w:t xml:space="preserve"> mae ymddygiad gwrthgymdeithasol, </w:t>
      </w:r>
      <w:r w:rsidR="00D13415">
        <w:rPr>
          <w:lang w:val="cy-GB"/>
        </w:rPr>
        <w:t xml:space="preserve">pobl yn </w:t>
      </w:r>
      <w:r>
        <w:rPr>
          <w:lang w:val="cy-GB"/>
        </w:rPr>
        <w:t xml:space="preserve">nofio yn y sianel fynediad tra bod cychod yn symud a pharcio heb awdurdod/parcio amhriodol.  </w:t>
      </w:r>
    </w:p>
    <w:p w:rsidR="00EB7A3E" w:rsidRPr="00EB7A3E" w:rsidRDefault="00BD61AE" w:rsidP="00EB7A3E">
      <w:pPr>
        <w:numPr>
          <w:ilvl w:val="1"/>
          <w:numId w:val="4"/>
        </w:numPr>
        <w:spacing w:before="100" w:beforeAutospacing="1" w:after="100" w:afterAutospacing="1" w:line="360" w:lineRule="auto"/>
      </w:pPr>
      <w:r>
        <w:rPr>
          <w:lang w:val="cy-GB"/>
        </w:rPr>
        <w:t xml:space="preserve">Nid yw'r pwerau sydd gan y Cyngor ar hyn o bryd yn ddigon i ddelio â'r gweithgareddau yn yr Harbwr a'r materion y mae'n rhaid i'r Cyngor fynd i'r afael â nhw yn y fan honno. </w:t>
      </w:r>
    </w:p>
    <w:p w:rsidR="00EB7A3E" w:rsidRPr="00EB7A3E" w:rsidRDefault="00BD61AE" w:rsidP="00EB7A3E">
      <w:pPr>
        <w:numPr>
          <w:ilvl w:val="1"/>
          <w:numId w:val="4"/>
        </w:num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Yng ngoleuni'r pwerau sydd ar gael </w:t>
      </w:r>
      <w:r w:rsidR="00135A72">
        <w:rPr>
          <w:lang w:val="cy-GB"/>
        </w:rPr>
        <w:t>yn unol â</w:t>
      </w:r>
      <w:r w:rsidRPr="00EB7A3E">
        <w:rPr>
          <w:lang w:val="cy-GB"/>
        </w:rPr>
        <w:t xml:space="preserve"> Deddf 1987, sy'n caniatáu i'r Cyngor greu is-ddeddfau a fydd yn cwmpasu ystod gynhwysfawr o faterion sy'n ymwneud â'r Harbwr</w:t>
      </w:r>
      <w:r w:rsidR="005E15FB">
        <w:rPr>
          <w:lang w:val="cy-GB"/>
        </w:rPr>
        <w:t xml:space="preserve"> </w:t>
      </w:r>
      <w:r w:rsidR="005E15FB" w:rsidRPr="005E15FB">
        <w:rPr>
          <w:lang w:val="cy-GB"/>
        </w:rPr>
        <w:t>a'r angen i ddirymu'n rhannol yr is-ddeddfau presennol</w:t>
      </w:r>
      <w:r w:rsidRPr="00EB7A3E">
        <w:rPr>
          <w:lang w:val="cy-GB"/>
        </w:rPr>
        <w:t xml:space="preserve">, ymddengys i'r Cyngor mai'r ffordd orau o sicrhau bod yr Harbwr yn cael ei reoli fel y dylai yw drwy greu is-ddeddfau. Mae torri is-ddeddf yn drosedd i'w chosbi ar euogfarn ddiannod drwy ddirwy. </w:t>
      </w:r>
    </w:p>
    <w:p w:rsidR="00EB7A3E" w:rsidRPr="00EB7A3E" w:rsidRDefault="00BD61AE" w:rsidP="00EB7A3E">
      <w:pPr>
        <w:numPr>
          <w:ilvl w:val="1"/>
          <w:numId w:val="4"/>
        </w:num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Yn unol â darpariaethau Deddf Is-ddeddfau Llywodraeth Leol (Cymru) 2012, mae gofyn i'r Cyngor ymgynghori â phobl a sefydliadau â buddiant cyn creu is-ddeddfau. </w:t>
      </w:r>
    </w:p>
    <w:p w:rsidR="00EB7A3E" w:rsidRPr="00EB7A3E" w:rsidRDefault="00BD61AE" w:rsidP="00EB7A3E">
      <w:pPr>
        <w:spacing w:before="100" w:beforeAutospacing="1" w:after="100" w:afterAutospacing="1" w:line="360" w:lineRule="auto"/>
      </w:pPr>
      <w:r w:rsidRPr="00EB7A3E">
        <w:rPr>
          <w:lang w:val="cy-GB"/>
        </w:rPr>
        <w:t>Byddai'r is-ddeddfau yn cwmpasu'r materion canlynol:-</w:t>
      </w:r>
    </w:p>
    <w:p w:rsidR="00EB7A3E" w:rsidRPr="00EB7A3E" w:rsidRDefault="00BD61AE" w:rsidP="00EB7A3E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EB7A3E">
        <w:rPr>
          <w:lang w:val="cy-GB"/>
        </w:rPr>
        <w:t>Angori</w:t>
      </w:r>
    </w:p>
    <w:p w:rsidR="00EB7A3E" w:rsidRPr="00EB7A3E" w:rsidRDefault="00BD61AE" w:rsidP="00EB7A3E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Mordwyo </w:t>
      </w:r>
    </w:p>
    <w:p w:rsidR="00EB7A3E" w:rsidRPr="00EB7A3E" w:rsidRDefault="00BD61AE" w:rsidP="00EB7A3E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EB7A3E">
        <w:rPr>
          <w:lang w:val="cy-GB"/>
        </w:rPr>
        <w:t>Pysgota</w:t>
      </w:r>
    </w:p>
    <w:p w:rsidR="00EB7A3E" w:rsidRPr="00EB7A3E" w:rsidRDefault="00BD61AE" w:rsidP="00EB7A3E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EB7A3E">
        <w:rPr>
          <w:lang w:val="cy-GB"/>
        </w:rPr>
        <w:lastRenderedPageBreak/>
        <w:t>Parcio</w:t>
      </w:r>
    </w:p>
    <w:p w:rsidR="00EB7A3E" w:rsidRPr="00EB7A3E" w:rsidRDefault="00BD61AE" w:rsidP="00EB7A3E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EB7A3E">
        <w:rPr>
          <w:lang w:val="cy-GB"/>
        </w:rPr>
        <w:t>Ymdrochi a phlymio</w:t>
      </w:r>
    </w:p>
    <w:p w:rsidR="00EB7A3E" w:rsidRPr="00EB7A3E" w:rsidRDefault="00BD61AE" w:rsidP="00EB7A3E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Llifddorau </w:t>
      </w:r>
    </w:p>
    <w:p w:rsidR="00EB7A3E" w:rsidRPr="00EB7A3E" w:rsidRDefault="00BD61AE" w:rsidP="00EB7A3E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Y </w:t>
      </w:r>
      <w:r w:rsidR="00A95064">
        <w:rPr>
          <w:lang w:val="cy-GB"/>
        </w:rPr>
        <w:t>l</w:t>
      </w:r>
      <w:r w:rsidRPr="00EB7A3E">
        <w:rPr>
          <w:lang w:val="cy-GB"/>
        </w:rPr>
        <w:t>lithrfa</w:t>
      </w:r>
    </w:p>
    <w:p w:rsidR="00EB7A3E" w:rsidRPr="00EB7A3E" w:rsidRDefault="00FF5DF6" w:rsidP="00EB7A3E">
      <w:pPr>
        <w:numPr>
          <w:ilvl w:val="0"/>
          <w:numId w:val="5"/>
        </w:numPr>
        <w:spacing w:before="100" w:beforeAutospacing="1" w:after="100" w:afterAutospacing="1" w:line="360" w:lineRule="auto"/>
      </w:pPr>
      <w:r>
        <w:rPr>
          <w:rFonts w:cs="Arial"/>
          <w:szCs w:val="24"/>
          <w:lang w:val="cy-GB"/>
        </w:rPr>
        <w:t>Cyfyngiadau ar y draethlin</w:t>
      </w:r>
    </w:p>
    <w:p w:rsidR="00EB7A3E" w:rsidRPr="00EB7A3E" w:rsidRDefault="00BD61AE" w:rsidP="00EB7A3E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Gwastraff </w:t>
      </w:r>
    </w:p>
    <w:p w:rsidR="00EB7A3E" w:rsidRPr="00EB7A3E" w:rsidRDefault="00BD61AE" w:rsidP="00EB7A3E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Diogelwch </w:t>
      </w:r>
    </w:p>
    <w:p w:rsidR="00EB7A3E" w:rsidRPr="00EB7A3E" w:rsidRDefault="00BD61AE" w:rsidP="00EB7A3E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Diogeledd </w:t>
      </w:r>
    </w:p>
    <w:p w:rsidR="00EB7A3E" w:rsidRPr="00EB7A3E" w:rsidRDefault="00BD61AE" w:rsidP="00EB7A3E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Cosbau </w:t>
      </w:r>
    </w:p>
    <w:p w:rsidR="00EB7A3E" w:rsidRPr="00EB7A3E" w:rsidRDefault="00BD61AE" w:rsidP="00EB7A3E">
      <w:pPr>
        <w:spacing w:before="100" w:beforeAutospacing="1" w:after="100" w:afterAutospacing="1" w:line="360" w:lineRule="auto"/>
      </w:pPr>
      <w:r w:rsidRPr="00EB7A3E">
        <w:rPr>
          <w:lang w:val="cy-GB"/>
        </w:rPr>
        <w:t xml:space="preserve">Mae'r Cyngor wedi ymrwymo i gynnwys ei </w:t>
      </w:r>
      <w:r w:rsidR="00492E8E">
        <w:rPr>
          <w:lang w:val="cy-GB"/>
        </w:rPr>
        <w:t>b</w:t>
      </w:r>
      <w:r w:rsidRPr="00EB7A3E">
        <w:rPr>
          <w:lang w:val="cy-GB"/>
        </w:rPr>
        <w:t xml:space="preserve">reswylwyr yn y penderfyniadau sy'n effeithio arnynt. Rydym yn awyddus i wybod a ydych chi wedi cael unrhyw broblemau wrth ddefnyddio'r Harbwr. </w:t>
      </w:r>
    </w:p>
    <w:p w:rsidR="00B85DD2" w:rsidRDefault="00BD61AE" w:rsidP="00B85DD2">
      <w:pPr>
        <w:pStyle w:val="Heading2"/>
      </w:pPr>
      <w:bookmarkStart w:id="6" w:name="_Toc68682276"/>
      <w:r>
        <w:rPr>
          <w:lang w:val="cy-GB"/>
        </w:rPr>
        <w:t xml:space="preserve">Asesiadau Effaith </w:t>
      </w:r>
      <w:bookmarkEnd w:id="6"/>
    </w:p>
    <w:p w:rsidR="00B85DD2" w:rsidRPr="00B85DD2" w:rsidRDefault="00BD61AE" w:rsidP="00EB7A3E">
      <w:pPr>
        <w:spacing w:before="100" w:beforeAutospacing="1" w:after="100" w:afterAutospacing="1" w:line="360" w:lineRule="auto"/>
        <w:rPr>
          <w:rFonts w:cs="Arial"/>
          <w:b/>
          <w:szCs w:val="24"/>
        </w:rPr>
      </w:pPr>
      <w:r w:rsidRPr="00B85DD2">
        <w:rPr>
          <w:rFonts w:cs="Arial"/>
          <w:b/>
          <w:bCs/>
          <w:szCs w:val="24"/>
          <w:lang w:val="cy-GB"/>
        </w:rPr>
        <w:t xml:space="preserve">Asesiad o'r Effaith ar Gydraddoldeb </w:t>
      </w:r>
    </w:p>
    <w:p w:rsidR="006503E8" w:rsidRDefault="00BD61AE" w:rsidP="00EB7A3E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  <w:r w:rsidRPr="006503E8">
        <w:rPr>
          <w:rFonts w:cs="Arial"/>
          <w:szCs w:val="24"/>
          <w:lang w:val="cy-GB"/>
        </w:rPr>
        <w:t xml:space="preserve">Ystyrir na fydd dim effeithiau negyddol yn deillio o'r ymgynghoriad hwn am ei fod yn gofyn i bobl am eu barn ynglŷn â sut orau i ddelio â'r materion sy'n codi yn yr Harbwr. Hefyd, bydd Cabinet y Cyngor yn cael gweld canlyniadau'r ymgynghoriad er mwyn eu hystyried.  </w:t>
      </w:r>
    </w:p>
    <w:p w:rsidR="00B85DD2" w:rsidRPr="00B85DD2" w:rsidRDefault="00BD61AE" w:rsidP="00EB7A3E">
      <w:pPr>
        <w:spacing w:before="100" w:beforeAutospacing="1" w:after="100" w:afterAutospacing="1" w:line="360" w:lineRule="auto"/>
        <w:jc w:val="both"/>
        <w:rPr>
          <w:rFonts w:eastAsia="Times New Roman" w:cs="Arial"/>
          <w:b/>
          <w:bCs/>
          <w:szCs w:val="24"/>
          <w:lang w:eastAsia="en-GB"/>
        </w:rPr>
      </w:pPr>
      <w:r w:rsidRPr="00B85DD2">
        <w:rPr>
          <w:rFonts w:eastAsia="Times New Roman" w:cs="Arial"/>
          <w:b/>
          <w:bCs/>
          <w:szCs w:val="24"/>
          <w:lang w:val="cy-GB" w:eastAsia="en-GB"/>
        </w:rPr>
        <w:t xml:space="preserve">Deddf Llesiant Cenedlaethau'r Dyfodol (Cymru) 2015 </w:t>
      </w:r>
    </w:p>
    <w:p w:rsidR="00C966A4" w:rsidRDefault="00BD61AE" w:rsidP="00EB7A3E">
      <w:pPr>
        <w:spacing w:before="100" w:beforeAutospacing="1" w:after="100" w:afterAutospacing="1" w:line="360" w:lineRule="auto"/>
        <w:rPr>
          <w:rFonts w:cs="Arial"/>
          <w:szCs w:val="24"/>
        </w:rPr>
      </w:pPr>
      <w:r w:rsidRPr="006503E8">
        <w:rPr>
          <w:rFonts w:cs="Arial"/>
          <w:szCs w:val="24"/>
          <w:lang w:val="cy-GB"/>
        </w:rPr>
        <w:t xml:space="preserve">Mae Templed Asesu Deddf Llesiant Cenedlaethau'r Dyfodol (Cymru) 2015 wedi'i gwblhau a </w:t>
      </w:r>
      <w:r w:rsidR="00E2307E">
        <w:rPr>
          <w:rFonts w:cs="Arial"/>
          <w:szCs w:val="24"/>
          <w:lang w:val="cy-GB"/>
        </w:rPr>
        <w:t>gwelir</w:t>
      </w:r>
      <w:r w:rsidRPr="006503E8">
        <w:rPr>
          <w:rFonts w:cs="Arial"/>
          <w:szCs w:val="24"/>
          <w:lang w:val="cy-GB"/>
        </w:rPr>
        <w:t xml:space="preserve"> </w:t>
      </w:r>
      <w:r w:rsidR="00E2307E" w:rsidRPr="006503E8">
        <w:rPr>
          <w:rFonts w:cs="Arial"/>
          <w:szCs w:val="24"/>
          <w:lang w:val="cy-GB"/>
        </w:rPr>
        <w:t xml:space="preserve">isod </w:t>
      </w:r>
      <w:r w:rsidR="00E2307E">
        <w:rPr>
          <w:rFonts w:cs="Arial"/>
          <w:szCs w:val="24"/>
          <w:lang w:val="cy-GB"/>
        </w:rPr>
        <w:t>g</w:t>
      </w:r>
      <w:r w:rsidRPr="006503E8">
        <w:rPr>
          <w:rFonts w:cs="Arial"/>
          <w:szCs w:val="24"/>
          <w:lang w:val="cy-GB"/>
        </w:rPr>
        <w:t xml:space="preserve">rynodeb o'r goblygiadau sy'n deillio o'r asesiad sy'n ymwneud â'r pum dull o weithio: </w:t>
      </w:r>
    </w:p>
    <w:p w:rsidR="006503E8" w:rsidRPr="00C966A4" w:rsidRDefault="00BD61AE" w:rsidP="00C966A4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 w:rsidRPr="00C966A4">
        <w:rPr>
          <w:rFonts w:cs="Arial"/>
          <w:lang w:val="cy-GB"/>
        </w:rPr>
        <w:t xml:space="preserve">Hirdymor: Bydd y broses a amlinellir yn cael ei dilyn i sicrhau bod yr ymgynghoriad yn delio â'r materion cyfredol yn yr ardal ynghyd â'r materion hynny </w:t>
      </w:r>
      <w:r w:rsidR="00087115">
        <w:rPr>
          <w:rFonts w:cs="Arial"/>
          <w:lang w:val="cy-GB"/>
        </w:rPr>
        <w:t>a ystyrir</w:t>
      </w:r>
      <w:r w:rsidRPr="00C966A4">
        <w:rPr>
          <w:rFonts w:cs="Arial"/>
          <w:lang w:val="cy-GB"/>
        </w:rPr>
        <w:t xml:space="preserve"> yn faterion i'r dyfodol, a bydd yn ceisio sicrhau bod y sefyllfa sydd ohoni yn fwy addas i'w diben. </w:t>
      </w:r>
    </w:p>
    <w:p w:rsidR="00C966A4" w:rsidRPr="00C966A4" w:rsidRDefault="00BD61AE" w:rsidP="00C966A4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 w:rsidRPr="00C966A4">
        <w:rPr>
          <w:rFonts w:cs="Arial"/>
          <w:lang w:val="cy-GB"/>
        </w:rPr>
        <w:lastRenderedPageBreak/>
        <w:t xml:space="preserve">Atal: Mae natur gyfnewidiol yr Harbwr a'r rhai sy'n ei ddefnyddio wedi codi llawer o bryderon y bydd y broses i adolygu'r is-ddeddfau yn ceisio'u lliniaru a'u rheoli. </w:t>
      </w:r>
    </w:p>
    <w:p w:rsidR="00C966A4" w:rsidRPr="00C966A4" w:rsidRDefault="00BD61AE" w:rsidP="00C966A4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 w:rsidRPr="00C966A4">
        <w:rPr>
          <w:rFonts w:cs="Arial"/>
          <w:lang w:val="cy-GB"/>
        </w:rPr>
        <w:t xml:space="preserve">Integreiddio: Bydd y broses ymgynghori i geisio gweld sut orau i fynd i'r afael â'r materion yn yr Harbwr, ac a ddylid mabwysiadu is-ddeddfau newydd, yn cael ei chynnal i sicrhau bod y dull y cytunwyd arno yn dod yn rhan o weithrediadau cyfredol a gweithrediadau'r dyfodol.  </w:t>
      </w:r>
    </w:p>
    <w:p w:rsidR="00C966A4" w:rsidRPr="00C966A4" w:rsidRDefault="00BD61AE" w:rsidP="00C966A4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 w:rsidRPr="00C966A4">
        <w:rPr>
          <w:rFonts w:cs="Arial"/>
          <w:lang w:val="cy-GB"/>
        </w:rPr>
        <w:t xml:space="preserve">Cydweithio: Bydd y broses yn cael ei chynnal drwy bartneriaeth rhwng Cyngor Bwrdeistref Sirol Pen-y-bont ar Ogwr a rhanddeiliaid allweddol. </w:t>
      </w:r>
    </w:p>
    <w:p w:rsidR="00B85DD2" w:rsidRPr="00C966A4" w:rsidRDefault="00FF5DF6" w:rsidP="00C966A4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lang w:val="cy-GB"/>
        </w:rPr>
        <w:t>Cynnwys: Y broses a ddilynir i gynnal yr ymgynghoriad fydd honno a geir yn Neddf Is-ddeddfau Llywodraeth Leol (Cymru) 2012.</w:t>
      </w:r>
    </w:p>
    <w:p w:rsidR="00B85DD2" w:rsidRDefault="00BD61AE" w:rsidP="00B85DD2">
      <w:pPr>
        <w:pStyle w:val="Heading2"/>
      </w:pPr>
      <w:bookmarkStart w:id="7" w:name="_Toc68682277"/>
      <w:r>
        <w:rPr>
          <w:lang w:val="cy-GB"/>
        </w:rPr>
        <w:t xml:space="preserve">Y </w:t>
      </w:r>
      <w:r w:rsidR="00087115">
        <w:rPr>
          <w:lang w:val="cy-GB"/>
        </w:rPr>
        <w:t>B</w:t>
      </w:r>
      <w:r>
        <w:rPr>
          <w:lang w:val="cy-GB"/>
        </w:rPr>
        <w:t xml:space="preserve">roses </w:t>
      </w:r>
      <w:r w:rsidR="00087115">
        <w:rPr>
          <w:lang w:val="cy-GB"/>
        </w:rPr>
        <w:t>Y</w:t>
      </w:r>
      <w:r>
        <w:rPr>
          <w:lang w:val="cy-GB"/>
        </w:rPr>
        <w:t>mgynghori</w:t>
      </w:r>
      <w:bookmarkStart w:id="8" w:name="_Toc394923722"/>
      <w:bookmarkEnd w:id="7"/>
    </w:p>
    <w:p w:rsidR="00B85DD2" w:rsidRPr="005837CE" w:rsidRDefault="00BD61AE" w:rsidP="005837CE">
      <w:pPr>
        <w:rPr>
          <w:rFonts w:cs="Arial"/>
          <w:szCs w:val="24"/>
          <w:lang w:val="cy-GB"/>
        </w:rPr>
      </w:pPr>
      <w:r w:rsidRPr="00B85DD2">
        <w:rPr>
          <w:rFonts w:cs="Arial"/>
          <w:szCs w:val="24"/>
          <w:lang w:val="cy-GB"/>
        </w:rPr>
        <w:t>Bydd y b</w:t>
      </w:r>
      <w:r w:rsidR="005837CE">
        <w:rPr>
          <w:rFonts w:cs="Arial"/>
          <w:szCs w:val="24"/>
          <w:lang w:val="cy-GB"/>
        </w:rPr>
        <w:t xml:space="preserve">roses ymgynghori yn cychwyn ar </w:t>
      </w:r>
      <w:r w:rsidR="005837CE" w:rsidRPr="005837CE">
        <w:rPr>
          <w:rFonts w:cs="Arial"/>
          <w:szCs w:val="24"/>
          <w:lang w:val="cy-GB"/>
        </w:rPr>
        <w:t>Dydd Llun 23 Awst</w:t>
      </w:r>
      <w:r w:rsidR="005837CE">
        <w:rPr>
          <w:rFonts w:cs="Arial"/>
          <w:szCs w:val="24"/>
          <w:lang w:val="cy-GB"/>
        </w:rPr>
        <w:t xml:space="preserve"> a daw i ben ar </w:t>
      </w:r>
      <w:r w:rsidR="005837CE" w:rsidRPr="005837CE">
        <w:rPr>
          <w:rFonts w:cs="Arial"/>
          <w:szCs w:val="24"/>
          <w:lang w:val="cy-GB"/>
        </w:rPr>
        <w:t>Dydd Gwener 14 Tachwedd</w:t>
      </w:r>
      <w:r w:rsidRPr="00B85DD2">
        <w:rPr>
          <w:rFonts w:cs="Arial"/>
          <w:szCs w:val="24"/>
          <w:lang w:val="cy-GB"/>
        </w:rPr>
        <w:t>. Bydd canlyniadau'r ymgynghoriad yn cae</w:t>
      </w:r>
      <w:r w:rsidR="005837CE">
        <w:rPr>
          <w:rFonts w:cs="Arial"/>
          <w:szCs w:val="24"/>
          <w:lang w:val="cy-GB"/>
        </w:rPr>
        <w:t xml:space="preserve">l eu hadrodd i'r Cabinet ar </w:t>
      </w:r>
      <w:bookmarkEnd w:id="8"/>
      <w:r w:rsidR="005837CE" w:rsidRPr="005837CE">
        <w:rPr>
          <w:rFonts w:cs="Arial"/>
          <w:szCs w:val="24"/>
          <w:lang w:val="cy-GB"/>
        </w:rPr>
        <w:t>Friday 10 December</w:t>
      </w:r>
      <w:r w:rsidR="005837CE">
        <w:rPr>
          <w:rFonts w:cs="Arial"/>
          <w:szCs w:val="24"/>
          <w:lang w:val="cy-GB"/>
        </w:rPr>
        <w:t>.</w:t>
      </w:r>
      <w:bookmarkStart w:id="9" w:name="_GoBack"/>
      <w:bookmarkEnd w:id="9"/>
    </w:p>
    <w:p w:rsidR="000E3BD8" w:rsidRDefault="00BD61AE" w:rsidP="00E3413D">
      <w:r w:rsidRPr="00B85DD2">
        <w:rPr>
          <w:lang w:val="cy-GB"/>
        </w:rPr>
        <w:t xml:space="preserve">Sylwer na fydd yr ymatebion i'r ymgynghoriad yn cael eu hystyried yn wrthwynebiadau. </w:t>
      </w:r>
    </w:p>
    <w:p w:rsidR="00B85DD2" w:rsidRPr="00B85DD2" w:rsidRDefault="00BD61AE" w:rsidP="000E3BD8">
      <w:r w:rsidRPr="00B85DD2">
        <w:rPr>
          <w:lang w:val="cy-GB"/>
        </w:rPr>
        <w:t xml:space="preserve">Dim ond tra bod yr hysbysiad cyhoeddus mewn grym y gellir cofnodi gwrthwynebiad. </w:t>
      </w:r>
      <w:bookmarkStart w:id="10" w:name="cysill"/>
      <w:bookmarkEnd w:id="10"/>
    </w:p>
    <w:sectPr w:rsidR="00B85DD2" w:rsidRPr="00B85DD2" w:rsidSect="001B5B12">
      <w:footerReference w:type="default" r:id="rId8"/>
      <w:headerReference w:type="first" r:id="rId9"/>
      <w:pgSz w:w="11906" w:h="16838"/>
      <w:pgMar w:top="1440" w:right="1440" w:bottom="1440" w:left="1440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AE" w:rsidRDefault="00BD61AE">
      <w:pPr>
        <w:spacing w:after="0" w:line="240" w:lineRule="auto"/>
      </w:pPr>
      <w:r>
        <w:separator/>
      </w:r>
    </w:p>
  </w:endnote>
  <w:endnote w:type="continuationSeparator" w:id="0">
    <w:p w:rsidR="00BD61AE" w:rsidRDefault="00BD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959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12F" w:rsidRDefault="00BD61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7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112F" w:rsidRDefault="00CE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AE" w:rsidRDefault="00BD61AE">
      <w:pPr>
        <w:spacing w:after="0" w:line="240" w:lineRule="auto"/>
      </w:pPr>
      <w:r>
        <w:separator/>
      </w:r>
    </w:p>
  </w:footnote>
  <w:footnote w:type="continuationSeparator" w:id="0">
    <w:p w:rsidR="00BD61AE" w:rsidRDefault="00BD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47" w:rsidRDefault="00BD61AE" w:rsidP="001B5B12">
    <w:pPr>
      <w:pStyle w:val="Header"/>
      <w:ind w:left="-1418"/>
      <w:jc w:val="center"/>
    </w:pPr>
    <w:r w:rsidRPr="00796547">
      <w:rPr>
        <w:noProof/>
        <w:lang w:eastAsia="en-GB"/>
      </w:rPr>
      <w:drawing>
        <wp:inline distT="0" distB="0" distL="0" distR="0">
          <wp:extent cx="7747200" cy="1713600"/>
          <wp:effectExtent l="0" t="0" r="6350" b="1270"/>
          <wp:docPr id="13" name="Picture 13" title="Bridgend Council log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200" cy="17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887"/>
    <w:multiLevelType w:val="multilevel"/>
    <w:tmpl w:val="060EAF92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16045E61"/>
    <w:multiLevelType w:val="hybridMultilevel"/>
    <w:tmpl w:val="7C9A991E"/>
    <w:lvl w:ilvl="0" w:tplc="9314F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07C54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B4A2072">
      <w:start w:val="1"/>
      <w:numFmt w:val="lowerRoman"/>
      <w:lvlText w:val="%3."/>
      <w:lvlJc w:val="right"/>
      <w:pPr>
        <w:ind w:left="1800" w:hanging="180"/>
      </w:pPr>
    </w:lvl>
    <w:lvl w:ilvl="3" w:tplc="0002C65E" w:tentative="1">
      <w:start w:val="1"/>
      <w:numFmt w:val="decimal"/>
      <w:lvlText w:val="%4."/>
      <w:lvlJc w:val="left"/>
      <w:pPr>
        <w:ind w:left="2520" w:hanging="360"/>
      </w:pPr>
    </w:lvl>
    <w:lvl w:ilvl="4" w:tplc="9E92DD26" w:tentative="1">
      <w:start w:val="1"/>
      <w:numFmt w:val="lowerLetter"/>
      <w:lvlText w:val="%5."/>
      <w:lvlJc w:val="left"/>
      <w:pPr>
        <w:ind w:left="3240" w:hanging="360"/>
      </w:pPr>
    </w:lvl>
    <w:lvl w:ilvl="5" w:tplc="90E66CA8" w:tentative="1">
      <w:start w:val="1"/>
      <w:numFmt w:val="lowerRoman"/>
      <w:lvlText w:val="%6."/>
      <w:lvlJc w:val="right"/>
      <w:pPr>
        <w:ind w:left="3960" w:hanging="180"/>
      </w:pPr>
    </w:lvl>
    <w:lvl w:ilvl="6" w:tplc="FA24C368" w:tentative="1">
      <w:start w:val="1"/>
      <w:numFmt w:val="decimal"/>
      <w:lvlText w:val="%7."/>
      <w:lvlJc w:val="left"/>
      <w:pPr>
        <w:ind w:left="4680" w:hanging="360"/>
      </w:pPr>
    </w:lvl>
    <w:lvl w:ilvl="7" w:tplc="23AA72D0" w:tentative="1">
      <w:start w:val="1"/>
      <w:numFmt w:val="lowerLetter"/>
      <w:lvlText w:val="%8."/>
      <w:lvlJc w:val="left"/>
      <w:pPr>
        <w:ind w:left="5400" w:hanging="360"/>
      </w:pPr>
    </w:lvl>
    <w:lvl w:ilvl="8" w:tplc="080C2C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924CF"/>
    <w:multiLevelType w:val="hybridMultilevel"/>
    <w:tmpl w:val="9C0616BA"/>
    <w:lvl w:ilvl="0" w:tplc="E6420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C3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3E8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E9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E2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48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8D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20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86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2600"/>
    <w:multiLevelType w:val="multilevel"/>
    <w:tmpl w:val="F6689E60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" w15:restartNumberingAfterBreak="0">
    <w:nsid w:val="3D6753C0"/>
    <w:multiLevelType w:val="hybridMultilevel"/>
    <w:tmpl w:val="07EEA468"/>
    <w:lvl w:ilvl="0" w:tplc="1980B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8828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E3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CB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C9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A7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23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6C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0D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2C53"/>
    <w:multiLevelType w:val="hybridMultilevel"/>
    <w:tmpl w:val="5854FBFE"/>
    <w:lvl w:ilvl="0" w:tplc="0220E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89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02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EC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A6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6AA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84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66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C8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7852"/>
    <w:multiLevelType w:val="hybridMultilevel"/>
    <w:tmpl w:val="78E08B7E"/>
    <w:lvl w:ilvl="0" w:tplc="C422F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2C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A5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2F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49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63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EF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25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61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D2"/>
    <w:rsid w:val="00013978"/>
    <w:rsid w:val="00073DEC"/>
    <w:rsid w:val="00087115"/>
    <w:rsid w:val="000A0BFC"/>
    <w:rsid w:val="000E3BD8"/>
    <w:rsid w:val="00111984"/>
    <w:rsid w:val="00135A72"/>
    <w:rsid w:val="0017089A"/>
    <w:rsid w:val="00192884"/>
    <w:rsid w:val="001B5B12"/>
    <w:rsid w:val="002371F1"/>
    <w:rsid w:val="00262407"/>
    <w:rsid w:val="00295CB3"/>
    <w:rsid w:val="002C3723"/>
    <w:rsid w:val="003546EF"/>
    <w:rsid w:val="00396412"/>
    <w:rsid w:val="003A7E2D"/>
    <w:rsid w:val="003E72D0"/>
    <w:rsid w:val="00461925"/>
    <w:rsid w:val="004743C6"/>
    <w:rsid w:val="00492E8E"/>
    <w:rsid w:val="004C44D6"/>
    <w:rsid w:val="004D4DEC"/>
    <w:rsid w:val="005275AE"/>
    <w:rsid w:val="0057497C"/>
    <w:rsid w:val="00574A4E"/>
    <w:rsid w:val="005837CE"/>
    <w:rsid w:val="005C030B"/>
    <w:rsid w:val="005E15FB"/>
    <w:rsid w:val="00605523"/>
    <w:rsid w:val="00626B70"/>
    <w:rsid w:val="006503E8"/>
    <w:rsid w:val="007372EF"/>
    <w:rsid w:val="00796547"/>
    <w:rsid w:val="007D7C54"/>
    <w:rsid w:val="00827E02"/>
    <w:rsid w:val="009554F3"/>
    <w:rsid w:val="00957322"/>
    <w:rsid w:val="009C7E9D"/>
    <w:rsid w:val="00A64E1D"/>
    <w:rsid w:val="00A71DA6"/>
    <w:rsid w:val="00A95064"/>
    <w:rsid w:val="00B067AA"/>
    <w:rsid w:val="00B51E19"/>
    <w:rsid w:val="00B74F62"/>
    <w:rsid w:val="00B85DD2"/>
    <w:rsid w:val="00BD61AE"/>
    <w:rsid w:val="00C35A39"/>
    <w:rsid w:val="00C966A4"/>
    <w:rsid w:val="00CE112F"/>
    <w:rsid w:val="00D06AE3"/>
    <w:rsid w:val="00D13415"/>
    <w:rsid w:val="00D940E7"/>
    <w:rsid w:val="00D97F93"/>
    <w:rsid w:val="00E03BE8"/>
    <w:rsid w:val="00E172F9"/>
    <w:rsid w:val="00E2307E"/>
    <w:rsid w:val="00E3413D"/>
    <w:rsid w:val="00EB7A3E"/>
    <w:rsid w:val="00F2721C"/>
    <w:rsid w:val="00F55A1C"/>
    <w:rsid w:val="00FA54A9"/>
    <w:rsid w:val="00FD130C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7DE4A"/>
  <w15:chartTrackingRefBased/>
  <w15:docId w15:val="{AC54A6AA-470A-47A9-AEC4-6B439919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3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5DD2"/>
    <w:pPr>
      <w:keepNext/>
      <w:keepLines/>
      <w:spacing w:before="200" w:after="240" w:line="276" w:lineRule="auto"/>
      <w:outlineLvl w:val="1"/>
    </w:pPr>
    <w:rPr>
      <w:rFonts w:eastAsia="Times New Roman" w:cs="Arial"/>
      <w:b/>
      <w:bCs/>
      <w:color w:val="004B8D"/>
      <w:sz w:val="28"/>
      <w:szCs w:val="24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B85DD2"/>
    <w:pPr>
      <w:keepNext/>
      <w:keepLines/>
      <w:spacing w:before="200" w:after="0"/>
      <w:ind w:leftChars="100" w:left="100" w:rightChars="100" w:right="100"/>
      <w:outlineLvl w:val="2"/>
    </w:pPr>
    <w:rPr>
      <w:rFonts w:eastAsiaTheme="majorEastAsia" w:cstheme="majorBidi"/>
      <w:b/>
      <w:bCs/>
      <w:color w:val="0093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5DD2"/>
    <w:rPr>
      <w:rFonts w:ascii="Arial" w:eastAsia="Times New Roman" w:hAnsi="Arial" w:cs="Arial"/>
      <w:b/>
      <w:bCs/>
      <w:color w:val="004B8D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5DD2"/>
    <w:rPr>
      <w:rFonts w:ascii="Arial" w:eastAsiaTheme="majorEastAsia" w:hAnsi="Arial" w:cstheme="majorBidi"/>
      <w:b/>
      <w:bCs/>
      <w:color w:val="009390"/>
      <w:sz w:val="24"/>
    </w:rPr>
  </w:style>
  <w:style w:type="paragraph" w:styleId="NoSpacing">
    <w:name w:val="No Spacing"/>
    <w:aliases w:val="Text"/>
    <w:basedOn w:val="Normal"/>
    <w:next w:val="Normal"/>
    <w:link w:val="NoSpacingChar"/>
    <w:uiPriority w:val="1"/>
    <w:qFormat/>
    <w:rsid w:val="00B85DD2"/>
    <w:pPr>
      <w:spacing w:beforeLines="50" w:before="50" w:afterLines="100"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B85DD2"/>
    <w:rPr>
      <w:color w:val="0563C1" w:themeColor="hyperlink"/>
      <w:u w:val="single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B85DD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85DD2"/>
    <w:pPr>
      <w:spacing w:after="0" w:line="240" w:lineRule="auto"/>
      <w:ind w:left="720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B8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D2"/>
  </w:style>
  <w:style w:type="paragraph" w:styleId="Footer">
    <w:name w:val="footer"/>
    <w:basedOn w:val="Normal"/>
    <w:link w:val="FooterChar"/>
    <w:uiPriority w:val="99"/>
    <w:unhideWhenUsed/>
    <w:rsid w:val="00B85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D2"/>
  </w:style>
  <w:style w:type="character" w:customStyle="1" w:styleId="Heading1Char">
    <w:name w:val="Heading 1 Char"/>
    <w:basedOn w:val="DefaultParagraphFont"/>
    <w:link w:val="Heading1"/>
    <w:uiPriority w:val="9"/>
    <w:rsid w:val="00B85D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85DD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85D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5DD2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7497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3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72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72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5EE6-6215-4989-87C0-B02372C7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1240</Words>
  <Characters>7073</Characters>
  <Application>Microsoft Office Word</Application>
  <DocSecurity>0</DocSecurity>
  <Lines>58</Lines>
  <Paragraphs>16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Bridgend CBC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Boyce</dc:creator>
  <cp:lastModifiedBy>Esta John</cp:lastModifiedBy>
  <cp:revision>43</cp:revision>
  <dcterms:created xsi:type="dcterms:W3CDTF">2021-07-14T09:42:00Z</dcterms:created>
  <dcterms:modified xsi:type="dcterms:W3CDTF">2021-08-18T10:05:00Z</dcterms:modified>
</cp:coreProperties>
</file>